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8F" w:rsidRPr="00713F24" w:rsidRDefault="00DD15D3" w:rsidP="00DD15D3">
      <w:pPr>
        <w:pStyle w:val="Sinespaciado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La comunicación visual </w:t>
      </w:r>
      <w:r w:rsidR="0099093A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los sistemas </w:t>
      </w:r>
      <w:r w:rsidR="00713F24" w:rsidRPr="00713F24">
        <w:rPr>
          <w:rFonts w:ascii="Arial" w:hAnsi="Arial" w:cs="Arial"/>
          <w:b/>
        </w:rPr>
        <w:t>de envase</w:t>
      </w:r>
      <w:r>
        <w:rPr>
          <w:rFonts w:ascii="Arial" w:hAnsi="Arial" w:cs="Arial"/>
          <w:b/>
        </w:rPr>
        <w:t>s</w:t>
      </w:r>
      <w:r w:rsidR="00713F24" w:rsidRPr="00713F24">
        <w:rPr>
          <w:rFonts w:ascii="Arial" w:hAnsi="Arial" w:cs="Arial"/>
          <w:b/>
        </w:rPr>
        <w:t xml:space="preserve"> de la industria farmacéutica cubana.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2208F" w:rsidRDefault="00FA165D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D.I. Laura Suárez Villada</w:t>
      </w:r>
      <w:r w:rsidR="006C3E14">
        <w:rPr>
          <w:rFonts w:ascii="Arial" w:hAnsi="Arial" w:cs="Arial"/>
        </w:rPr>
        <w:t>.</w:t>
      </w:r>
    </w:p>
    <w:p w:rsidR="00713F24" w:rsidRDefault="003F0322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hyperlink r:id="rId8" w:history="1">
        <w:r w:rsidR="00713F24" w:rsidRPr="00BD7AA2">
          <w:rPr>
            <w:rStyle w:val="Hipervnculo"/>
            <w:rFonts w:ascii="Arial" w:hAnsi="Arial" w:cs="Arial"/>
          </w:rPr>
          <w:t>armandoliona@cubarte.cult.cu</w:t>
        </w:r>
      </w:hyperlink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02208F" w:rsidRPr="006C3E14" w:rsidRDefault="003F0CE2" w:rsidP="00DD15D3">
      <w:pPr>
        <w:pStyle w:val="Sinespaciado"/>
        <w:spacing w:line="360" w:lineRule="auto"/>
        <w:jc w:val="both"/>
        <w:rPr>
          <w:rFonts w:ascii="Arial" w:hAnsi="Arial" w:cs="Arial"/>
          <w:b/>
        </w:rPr>
      </w:pPr>
      <w:r w:rsidRPr="006C3E14">
        <w:rPr>
          <w:rFonts w:ascii="Arial" w:hAnsi="Arial" w:cs="Arial"/>
          <w:b/>
        </w:rPr>
        <w:t>Resumen:</w:t>
      </w:r>
    </w:p>
    <w:p w:rsidR="003F0CE2" w:rsidRPr="00713F24" w:rsidRDefault="003F0CE2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El diseño de </w:t>
      </w:r>
      <w:r w:rsidR="0099093A">
        <w:rPr>
          <w:rFonts w:ascii="Arial" w:hAnsi="Arial" w:cs="Arial"/>
        </w:rPr>
        <w:t>sistemas</w:t>
      </w:r>
      <w:r w:rsidRPr="00713F24">
        <w:rPr>
          <w:rFonts w:ascii="Arial" w:hAnsi="Arial" w:cs="Arial"/>
        </w:rPr>
        <w:t xml:space="preserve"> de envase para medicamentos es una tarea sumamente compleja. Muchas veces esta actividad no es asumida por diseñadores y esto ha devenido en importantes decisiones deficitarias que han tenido que ser arrastradas durante años por un grupo de organizaciones. El desconocimiento o el poco valor que se le otorga a la profesión del diseñador en </w:t>
      </w:r>
      <w:r w:rsidR="00604ECB" w:rsidRPr="00713F24">
        <w:rPr>
          <w:rFonts w:ascii="Arial" w:hAnsi="Arial" w:cs="Arial"/>
        </w:rPr>
        <w:t>la industria farmacéutica c</w:t>
      </w:r>
      <w:r w:rsidRPr="00713F24">
        <w:rPr>
          <w:rFonts w:ascii="Arial" w:hAnsi="Arial" w:cs="Arial"/>
        </w:rPr>
        <w:t>uba</w:t>
      </w:r>
      <w:r w:rsidR="00604ECB" w:rsidRPr="00713F24">
        <w:rPr>
          <w:rFonts w:ascii="Arial" w:hAnsi="Arial" w:cs="Arial"/>
        </w:rPr>
        <w:t>na,</w:t>
      </w:r>
      <w:r w:rsidRPr="00713F24">
        <w:rPr>
          <w:rFonts w:ascii="Arial" w:hAnsi="Arial" w:cs="Arial"/>
        </w:rPr>
        <w:t xml:space="preserve"> lo </w:t>
      </w:r>
      <w:r w:rsidR="00604ECB" w:rsidRPr="00713F24">
        <w:rPr>
          <w:rFonts w:ascii="Arial" w:hAnsi="Arial" w:cs="Arial"/>
        </w:rPr>
        <w:t>han</w:t>
      </w:r>
      <w:r w:rsidRPr="00713F24">
        <w:rPr>
          <w:rFonts w:ascii="Arial" w:hAnsi="Arial" w:cs="Arial"/>
        </w:rPr>
        <w:t xml:space="preserve"> mantenido al margen de los procesos de toma de decisión que </w:t>
      </w:r>
      <w:r w:rsidR="00604ECB" w:rsidRPr="00713F24">
        <w:rPr>
          <w:rFonts w:ascii="Arial" w:hAnsi="Arial" w:cs="Arial"/>
        </w:rPr>
        <w:t xml:space="preserve">tienen como eje </w:t>
      </w:r>
      <w:r w:rsidRPr="00713F24">
        <w:rPr>
          <w:rFonts w:ascii="Arial" w:hAnsi="Arial" w:cs="Arial"/>
        </w:rPr>
        <w:t xml:space="preserve">resultados de comunicación visual. </w:t>
      </w: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8E3917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El objetivo de este trabajo es relacionar </w:t>
      </w:r>
      <w:r w:rsidR="00214EE1">
        <w:rPr>
          <w:rFonts w:ascii="Arial" w:hAnsi="Arial" w:cs="Arial"/>
          <w:sz w:val="24"/>
          <w:szCs w:val="24"/>
        </w:rPr>
        <w:t xml:space="preserve">los principales aspectos que condicionan el diseño </w:t>
      </w:r>
      <w:r w:rsidR="00EC09D3">
        <w:rPr>
          <w:rFonts w:ascii="Arial" w:hAnsi="Arial" w:cs="Arial"/>
          <w:sz w:val="24"/>
          <w:szCs w:val="24"/>
        </w:rPr>
        <w:t xml:space="preserve">de </w:t>
      </w:r>
      <w:r w:rsidR="00214EE1">
        <w:rPr>
          <w:rFonts w:ascii="Arial" w:hAnsi="Arial" w:cs="Arial"/>
          <w:sz w:val="24"/>
          <w:szCs w:val="24"/>
        </w:rPr>
        <w:t xml:space="preserve">sistemas de envases para medicamentos y </w:t>
      </w:r>
      <w:r>
        <w:rPr>
          <w:rFonts w:ascii="Arial" w:hAnsi="Arial" w:cs="Arial"/>
          <w:sz w:val="24"/>
          <w:szCs w:val="24"/>
        </w:rPr>
        <w:t xml:space="preserve">la necesidad de la </w:t>
      </w:r>
      <w:r w:rsidR="00214EE1">
        <w:rPr>
          <w:rFonts w:ascii="Arial" w:hAnsi="Arial" w:cs="Arial"/>
          <w:sz w:val="24"/>
          <w:szCs w:val="24"/>
        </w:rPr>
        <w:t>participación</w:t>
      </w:r>
      <w:r>
        <w:rPr>
          <w:rFonts w:ascii="Arial" w:hAnsi="Arial" w:cs="Arial"/>
          <w:sz w:val="24"/>
          <w:szCs w:val="24"/>
        </w:rPr>
        <w:t xml:space="preserve"> de los especialistas de diseño de co</w:t>
      </w:r>
      <w:r w:rsidR="00214EE1">
        <w:rPr>
          <w:rFonts w:ascii="Arial" w:hAnsi="Arial" w:cs="Arial"/>
          <w:sz w:val="24"/>
          <w:szCs w:val="24"/>
        </w:rPr>
        <w:t>municación visual en los procesos de toma de decisiones relacionados</w:t>
      </w:r>
      <w:r>
        <w:rPr>
          <w:rFonts w:ascii="Arial" w:hAnsi="Arial" w:cs="Arial"/>
          <w:sz w:val="24"/>
          <w:szCs w:val="24"/>
        </w:rPr>
        <w:t xml:space="preserve">. También se </w:t>
      </w:r>
      <w:r w:rsidR="00214EE1">
        <w:rPr>
          <w:rFonts w:ascii="Arial" w:hAnsi="Arial" w:cs="Arial"/>
          <w:sz w:val="24"/>
          <w:szCs w:val="24"/>
        </w:rPr>
        <w:t xml:space="preserve">persigue </w:t>
      </w:r>
      <w:r>
        <w:rPr>
          <w:rFonts w:ascii="Arial" w:hAnsi="Arial" w:cs="Arial"/>
          <w:sz w:val="24"/>
          <w:szCs w:val="24"/>
        </w:rPr>
        <w:t xml:space="preserve">hacer un llamado de </w:t>
      </w:r>
      <w:r w:rsidR="00214EE1">
        <w:rPr>
          <w:rFonts w:ascii="Arial" w:hAnsi="Arial" w:cs="Arial"/>
          <w:sz w:val="24"/>
          <w:szCs w:val="24"/>
        </w:rPr>
        <w:t>atención</w:t>
      </w:r>
      <w:r>
        <w:rPr>
          <w:rFonts w:ascii="Arial" w:hAnsi="Arial" w:cs="Arial"/>
          <w:sz w:val="24"/>
          <w:szCs w:val="24"/>
        </w:rPr>
        <w:t xml:space="preserve"> ante </w:t>
      </w:r>
      <w:r w:rsidR="00214EE1">
        <w:rPr>
          <w:rFonts w:ascii="Arial" w:hAnsi="Arial" w:cs="Arial"/>
          <w:sz w:val="24"/>
          <w:szCs w:val="24"/>
        </w:rPr>
        <w:t>los nuevos escenarios que se avecinan para la esfera de envases de la industria farmacéutica y la cada vez más creciente necesidad del diseño de comunicación visual en ella</w:t>
      </w:r>
      <w:r>
        <w:rPr>
          <w:rFonts w:ascii="Arial" w:hAnsi="Arial" w:cs="Arial"/>
          <w:sz w:val="24"/>
          <w:szCs w:val="24"/>
        </w:rPr>
        <w:t>.</w:t>
      </w: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99093A" w:rsidRDefault="0099093A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636A8C" w:rsidRDefault="00636A8C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A630D9" w:rsidRPr="00713F24" w:rsidRDefault="00DB27D1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lastRenderedPageBreak/>
        <w:t>En Cuba</w:t>
      </w:r>
      <w:r w:rsidR="00482E04">
        <w:rPr>
          <w:rFonts w:ascii="Arial" w:hAnsi="Arial" w:cs="Arial"/>
        </w:rPr>
        <w:t>,</w:t>
      </w:r>
      <w:r w:rsidRPr="00713F24">
        <w:rPr>
          <w:rFonts w:ascii="Arial" w:hAnsi="Arial" w:cs="Arial"/>
        </w:rPr>
        <w:t xml:space="preserve"> la </w:t>
      </w:r>
      <w:r w:rsidR="000345BA" w:rsidRPr="00713F24">
        <w:rPr>
          <w:rFonts w:ascii="Arial" w:hAnsi="Arial" w:cs="Arial"/>
        </w:rPr>
        <w:t xml:space="preserve">industria </w:t>
      </w:r>
      <w:r w:rsidRPr="00713F24">
        <w:rPr>
          <w:rFonts w:ascii="Arial" w:hAnsi="Arial" w:cs="Arial"/>
        </w:rPr>
        <w:t xml:space="preserve">médico-farmacéutica es un sector priorizado en el cual laboran </w:t>
      </w:r>
      <w:r w:rsidR="000345BA" w:rsidRPr="00713F24">
        <w:rPr>
          <w:rFonts w:ascii="Arial" w:hAnsi="Arial" w:cs="Arial"/>
        </w:rPr>
        <w:t>brillantes profesionales, científicos, investigadores; pero en la que el diseño no ha jugado un rol importante</w:t>
      </w:r>
      <w:r w:rsidR="00025713" w:rsidRPr="00713F24">
        <w:rPr>
          <w:rFonts w:ascii="Arial" w:hAnsi="Arial" w:cs="Arial"/>
        </w:rPr>
        <w:t>.</w:t>
      </w:r>
      <w:r w:rsidR="000345BA" w:rsidRPr="00713F24">
        <w:rPr>
          <w:rFonts w:ascii="Arial" w:hAnsi="Arial" w:cs="Arial"/>
        </w:rPr>
        <w:t xml:space="preserve"> Esto ha ocurrido por varias causas: </w:t>
      </w:r>
    </w:p>
    <w:p w:rsidR="00A630D9" w:rsidRPr="00713F24" w:rsidRDefault="000345BA" w:rsidP="00DD15D3">
      <w:pPr>
        <w:pStyle w:val="Sinespaciado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La morfología de los envases está preestablecida</w:t>
      </w:r>
      <w:r w:rsidR="006D2D50" w:rsidRPr="00713F24">
        <w:rPr>
          <w:rFonts w:ascii="Arial" w:hAnsi="Arial" w:cs="Arial"/>
        </w:rPr>
        <w:t xml:space="preserve">, condicionada a las modernas maquinarias con elevados índices de automatización existentes en la industria. </w:t>
      </w:r>
    </w:p>
    <w:p w:rsidR="00A630D9" w:rsidRPr="00713F24" w:rsidRDefault="006D2D50" w:rsidP="00DD15D3">
      <w:pPr>
        <w:pStyle w:val="Sinespaciado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Las características del contexto, en el que no existe la competencia de mercado, donde no se comercializan las marcas de los medicamentos ni de sus productores.</w:t>
      </w:r>
      <w:r w:rsidR="008E4877">
        <w:rPr>
          <w:rFonts w:ascii="Arial" w:hAnsi="Arial" w:cs="Arial"/>
        </w:rPr>
        <w:t xml:space="preserve"> Dónde es complejo promover un producto farmacéutico, pues no se deben crear expectativas en los pacientes, quienes no tienen la opción de elegir si usar determinado producto o tratamiento, sino está atado a la decisión del médico.</w:t>
      </w:r>
    </w:p>
    <w:p w:rsidR="000345BA" w:rsidRPr="00713F24" w:rsidRDefault="006D2D50" w:rsidP="00DD15D3">
      <w:pPr>
        <w:pStyle w:val="Sinespaciado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El bajo reconocimiento de la profesión y </w:t>
      </w:r>
      <w:r w:rsidR="00A71A36" w:rsidRPr="00713F24">
        <w:rPr>
          <w:rFonts w:ascii="Arial" w:hAnsi="Arial" w:cs="Arial"/>
        </w:rPr>
        <w:t>los</w:t>
      </w:r>
      <w:r w:rsidRPr="00713F24">
        <w:rPr>
          <w:rFonts w:ascii="Arial" w:hAnsi="Arial" w:cs="Arial"/>
        </w:rPr>
        <w:t xml:space="preserve"> aportes</w:t>
      </w:r>
      <w:r w:rsidR="00A71A36" w:rsidRPr="00713F24">
        <w:rPr>
          <w:rFonts w:ascii="Arial" w:hAnsi="Arial" w:cs="Arial"/>
        </w:rPr>
        <w:t xml:space="preserve"> que puede realizar</w:t>
      </w:r>
      <w:r w:rsidRPr="00713F24">
        <w:rPr>
          <w:rFonts w:ascii="Arial" w:hAnsi="Arial" w:cs="Arial"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470AC5" w:rsidRPr="00713F24" w:rsidRDefault="002F65A8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En el caso de los envases para productos genéricos inyectables, colirios, gotas óticas y nasales, a</w:t>
      </w:r>
      <w:r w:rsidR="006A2831" w:rsidRPr="00713F24">
        <w:rPr>
          <w:rFonts w:ascii="Arial" w:hAnsi="Arial" w:cs="Arial"/>
        </w:rPr>
        <w:t xml:space="preserve">l observar el diseño del </w:t>
      </w:r>
      <w:r w:rsidR="004A205D">
        <w:rPr>
          <w:rFonts w:ascii="Arial" w:hAnsi="Arial" w:cs="Arial"/>
        </w:rPr>
        <w:t>sistema</w:t>
      </w:r>
      <w:r w:rsidR="006A2831" w:rsidRPr="00713F24">
        <w:rPr>
          <w:rFonts w:ascii="Arial" w:hAnsi="Arial" w:cs="Arial"/>
        </w:rPr>
        <w:t xml:space="preserve"> de envase</w:t>
      </w:r>
      <w:r w:rsidR="004A205D">
        <w:rPr>
          <w:rFonts w:ascii="Arial" w:hAnsi="Arial" w:cs="Arial"/>
        </w:rPr>
        <w:t>s</w:t>
      </w:r>
      <w:r w:rsidR="006A2831" w:rsidRPr="00713F24">
        <w:rPr>
          <w:rFonts w:ascii="Arial" w:hAnsi="Arial" w:cs="Arial"/>
        </w:rPr>
        <w:t xml:space="preserve"> para </w:t>
      </w:r>
      <w:r w:rsidR="004A205D">
        <w:rPr>
          <w:rFonts w:ascii="Arial" w:hAnsi="Arial" w:cs="Arial"/>
        </w:rPr>
        <w:t xml:space="preserve">los </w:t>
      </w:r>
      <w:r w:rsidR="006A2831" w:rsidRPr="00713F24">
        <w:rPr>
          <w:rFonts w:ascii="Arial" w:hAnsi="Arial" w:cs="Arial"/>
        </w:rPr>
        <w:t>medicamentos de producción nacional</w:t>
      </w:r>
      <w:r w:rsidR="000D69A2" w:rsidRPr="00713F24">
        <w:rPr>
          <w:rFonts w:ascii="Arial" w:hAnsi="Arial" w:cs="Arial"/>
        </w:rPr>
        <w:t>,</w:t>
      </w:r>
      <w:r w:rsidR="006A2831" w:rsidRPr="00713F24">
        <w:rPr>
          <w:rFonts w:ascii="Arial" w:hAnsi="Arial" w:cs="Arial"/>
        </w:rPr>
        <w:t xml:space="preserve"> aflora </w:t>
      </w:r>
      <w:r w:rsidR="000D69A2" w:rsidRPr="00713F24">
        <w:rPr>
          <w:rFonts w:ascii="Arial" w:hAnsi="Arial" w:cs="Arial"/>
        </w:rPr>
        <w:t>su</w:t>
      </w:r>
      <w:r w:rsidR="006A2831" w:rsidRPr="00713F24">
        <w:rPr>
          <w:rFonts w:ascii="Arial" w:hAnsi="Arial" w:cs="Arial"/>
        </w:rPr>
        <w:t xml:space="preserve"> baja calidad estético formal</w:t>
      </w:r>
      <w:r w:rsidRPr="00713F24">
        <w:rPr>
          <w:rFonts w:ascii="Arial" w:hAnsi="Arial" w:cs="Arial"/>
        </w:rPr>
        <w:t>.</w:t>
      </w:r>
      <w:r w:rsidR="00E648CD" w:rsidRPr="00713F24">
        <w:rPr>
          <w:rFonts w:ascii="Arial" w:hAnsi="Arial" w:cs="Arial"/>
        </w:rPr>
        <w:t xml:space="preserve"> </w:t>
      </w:r>
      <w:r w:rsidR="00600121" w:rsidRPr="00713F24">
        <w:rPr>
          <w:rFonts w:ascii="Arial" w:hAnsi="Arial" w:cs="Arial"/>
        </w:rPr>
        <w:t>En la mayoría de los casos</w:t>
      </w:r>
      <w:r w:rsidR="00EC09D3">
        <w:rPr>
          <w:rFonts w:ascii="Arial" w:hAnsi="Arial" w:cs="Arial"/>
        </w:rPr>
        <w:t>,</w:t>
      </w:r>
      <w:r w:rsidR="00600121" w:rsidRPr="00713F24">
        <w:rPr>
          <w:rFonts w:ascii="Arial" w:hAnsi="Arial" w:cs="Arial"/>
        </w:rPr>
        <w:t xml:space="preserve"> producto de la ignorancia del valor del diseño, el intrusismo profesional, la falta de compromiso de creativos, la complejidad del tema al ser abordado y otras que no son objeto de este texto.</w:t>
      </w:r>
    </w:p>
    <w:p w:rsidR="00713F24" w:rsidRPr="004A205D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6A2831" w:rsidRPr="00713F24" w:rsidRDefault="000D69A2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Muchas veces, dicha baja calidad estético formal</w:t>
      </w:r>
      <w:r w:rsidR="00E648CD" w:rsidRPr="00713F24">
        <w:rPr>
          <w:rFonts w:ascii="Arial" w:hAnsi="Arial" w:cs="Arial"/>
        </w:rPr>
        <w:t xml:space="preserve"> </w:t>
      </w:r>
      <w:r w:rsidR="002F65A8" w:rsidRPr="00713F24">
        <w:rPr>
          <w:rFonts w:ascii="Arial" w:hAnsi="Arial" w:cs="Arial"/>
        </w:rPr>
        <w:t>pretende ser</w:t>
      </w:r>
      <w:r w:rsidR="00E648CD" w:rsidRPr="00713F24">
        <w:rPr>
          <w:rFonts w:ascii="Arial" w:hAnsi="Arial" w:cs="Arial"/>
        </w:rPr>
        <w:t xml:space="preserve"> justifica</w:t>
      </w:r>
      <w:r w:rsidR="002F65A8" w:rsidRPr="00713F24">
        <w:rPr>
          <w:rFonts w:ascii="Arial" w:hAnsi="Arial" w:cs="Arial"/>
        </w:rPr>
        <w:t>da con</w:t>
      </w:r>
      <w:r w:rsidR="00E648CD" w:rsidRPr="00713F24">
        <w:rPr>
          <w:rFonts w:ascii="Arial" w:hAnsi="Arial" w:cs="Arial"/>
        </w:rPr>
        <w:t xml:space="preserve"> las estrictas regulaciones emitidas por la Organización Mundial de la Salud (OMS) y la Organización Panamericana de la Salud (OPS), que establecen como ha de ser la comunicación y la promoción en torno a los medicamentos, con el fin de no crear necesidades en los pacientes. También en la Regulación Nº 14-2009 del Centro para el Control Estatal de la Calidad de los Medicamentos (CECMED)</w:t>
      </w:r>
      <w:r w:rsidR="002F65A8" w:rsidRPr="00713F24">
        <w:rPr>
          <w:rFonts w:ascii="Arial" w:hAnsi="Arial" w:cs="Arial"/>
        </w:rPr>
        <w:t xml:space="preserve">, </w:t>
      </w:r>
      <w:r w:rsidR="00E648CD" w:rsidRPr="00713F24">
        <w:rPr>
          <w:rFonts w:ascii="Arial" w:hAnsi="Arial" w:cs="Arial"/>
        </w:rPr>
        <w:t>institución encargada de regular cada detalle relacionado con la producción y distribución de los medicamentos de uso humano en el país</w:t>
      </w:r>
      <w:r w:rsidR="002F65A8" w:rsidRPr="00713F24">
        <w:rPr>
          <w:rFonts w:ascii="Arial" w:hAnsi="Arial" w:cs="Arial"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807E0A" w:rsidRPr="00713F24" w:rsidRDefault="002F65A8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Dicha Regulación </w:t>
      </w:r>
      <w:r w:rsidR="008D1B3C">
        <w:rPr>
          <w:rFonts w:ascii="Arial" w:hAnsi="Arial" w:cs="Arial"/>
        </w:rPr>
        <w:t>establece</w:t>
      </w:r>
      <w:r w:rsidRPr="00713F24">
        <w:rPr>
          <w:rFonts w:ascii="Arial" w:hAnsi="Arial" w:cs="Arial"/>
        </w:rPr>
        <w:t xml:space="preserve"> la información global que debe recibir</w:t>
      </w:r>
      <w:r w:rsidR="00807E0A" w:rsidRPr="00713F24">
        <w:rPr>
          <w:rFonts w:ascii="Arial" w:hAnsi="Arial" w:cs="Arial"/>
        </w:rPr>
        <w:t xml:space="preserve"> el paciente con el medicamento en sus distintos niveles de identificación, así como los requisitos adicionales para el color de impresos de medicamentos. En este último apartado se relacionan </w:t>
      </w:r>
      <w:r w:rsidR="00F740FB" w:rsidRPr="00713F24">
        <w:rPr>
          <w:rFonts w:ascii="Arial" w:hAnsi="Arial" w:cs="Arial"/>
        </w:rPr>
        <w:t>23 productos e impone para ellos</w:t>
      </w:r>
      <w:r w:rsidR="00807E0A" w:rsidRPr="00713F24">
        <w:rPr>
          <w:rFonts w:ascii="Arial" w:hAnsi="Arial" w:cs="Arial"/>
        </w:rPr>
        <w:t xml:space="preserve"> un sistema de códigos gráfico</w:t>
      </w:r>
      <w:r w:rsidR="006316E7" w:rsidRPr="00713F24">
        <w:rPr>
          <w:rFonts w:ascii="Arial" w:hAnsi="Arial" w:cs="Arial"/>
        </w:rPr>
        <w:t>s</w:t>
      </w:r>
      <w:r w:rsidR="00807E0A" w:rsidRPr="00713F24">
        <w:rPr>
          <w:rFonts w:ascii="Arial" w:hAnsi="Arial" w:cs="Arial"/>
        </w:rPr>
        <w:t>-cromático</w:t>
      </w:r>
      <w:r w:rsidR="006316E7" w:rsidRPr="00713F24">
        <w:rPr>
          <w:rFonts w:ascii="Arial" w:hAnsi="Arial" w:cs="Arial"/>
        </w:rPr>
        <w:t>s</w:t>
      </w:r>
      <w:r w:rsidR="00807E0A" w:rsidRPr="00713F24">
        <w:rPr>
          <w:rFonts w:ascii="Arial" w:hAnsi="Arial" w:cs="Arial"/>
        </w:rPr>
        <w:t xml:space="preserve"> cuya pretensión </w:t>
      </w:r>
      <w:r w:rsidR="006316E7" w:rsidRPr="00713F24">
        <w:rPr>
          <w:rFonts w:ascii="Arial" w:hAnsi="Arial" w:cs="Arial"/>
        </w:rPr>
        <w:t>es favorecer la identificación y</w:t>
      </w:r>
      <w:r w:rsidR="00807E0A" w:rsidRPr="00713F24">
        <w:rPr>
          <w:rFonts w:ascii="Arial" w:hAnsi="Arial" w:cs="Arial"/>
        </w:rPr>
        <w:t xml:space="preserve"> diferenciación entre estos </w:t>
      </w:r>
      <w:r w:rsidR="00797673" w:rsidRPr="00713F24">
        <w:rPr>
          <w:rFonts w:ascii="Arial" w:hAnsi="Arial" w:cs="Arial"/>
        </w:rPr>
        <w:t>fármacos</w:t>
      </w:r>
      <w:r w:rsidR="00807E0A" w:rsidRPr="00713F24">
        <w:rPr>
          <w:rFonts w:ascii="Arial" w:hAnsi="Arial" w:cs="Arial"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4A205D" w:rsidRDefault="00F740FB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Estos códigos para la identificación de productos surgen a raíz del </w:t>
      </w:r>
      <w:r w:rsidR="001B1F4F" w:rsidRPr="00713F24">
        <w:rPr>
          <w:rFonts w:ascii="Arial" w:hAnsi="Arial" w:cs="Arial"/>
        </w:rPr>
        <w:t xml:space="preserve">sostenido </w:t>
      </w:r>
      <w:r w:rsidRPr="00713F24">
        <w:rPr>
          <w:rFonts w:ascii="Arial" w:hAnsi="Arial" w:cs="Arial"/>
        </w:rPr>
        <w:t>reclamo de los médicos, basado en su necesidad de lograr una eficiente y rápida diferenciación de determinados grupos de medicamentos entre sí. Medicamentos que son empleados en situaciones de emergencia, fundamentalmente relacionados al programa de atención al paciente grave y al programa quirúrgico.</w:t>
      </w:r>
    </w:p>
    <w:p w:rsidR="004A205D" w:rsidRDefault="004A205D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483E25" w:rsidRPr="004A205D" w:rsidRDefault="00483E25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  <w:b/>
        </w:rPr>
        <w:t>Un problema no resuelto.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2F65A8" w:rsidRPr="004A205D" w:rsidRDefault="0066742A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4A205D">
        <w:rPr>
          <w:rFonts w:ascii="Arial" w:hAnsi="Arial" w:cs="Arial"/>
        </w:rPr>
        <w:t>E</w:t>
      </w:r>
      <w:r w:rsidR="001B1F4F" w:rsidRPr="004A205D">
        <w:rPr>
          <w:rFonts w:ascii="Arial" w:hAnsi="Arial" w:cs="Arial"/>
        </w:rPr>
        <w:t xml:space="preserve">n </w:t>
      </w:r>
      <w:r w:rsidR="004A205D" w:rsidRPr="004A205D">
        <w:rPr>
          <w:rFonts w:ascii="Arial" w:hAnsi="Arial" w:cs="Arial"/>
        </w:rPr>
        <w:t xml:space="preserve">el marco del Primer Taller AICA – Sociedades Médicas de Cuba, organizado por la empresa Laboratorios AICA, principal productora de inyectables del país, </w:t>
      </w:r>
      <w:r w:rsidR="004A205D">
        <w:rPr>
          <w:rFonts w:ascii="Arial" w:hAnsi="Arial" w:cs="Arial"/>
        </w:rPr>
        <w:t>los p</w:t>
      </w:r>
      <w:r w:rsidR="004A205D" w:rsidRPr="00713F24">
        <w:rPr>
          <w:rFonts w:ascii="Arial" w:hAnsi="Arial" w:cs="Arial"/>
        </w:rPr>
        <w:t xml:space="preserve">residentes de las Sociedades Médicas </w:t>
      </w:r>
      <w:r w:rsidR="004A205D" w:rsidRPr="004A205D">
        <w:rPr>
          <w:rFonts w:ascii="Arial" w:hAnsi="Arial" w:cs="Arial"/>
        </w:rPr>
        <w:t>refirieron</w:t>
      </w:r>
      <w:r w:rsidR="001B1F4F" w:rsidRPr="004A205D">
        <w:rPr>
          <w:rFonts w:ascii="Arial" w:hAnsi="Arial" w:cs="Arial"/>
        </w:rPr>
        <w:t xml:space="preserve"> la </w:t>
      </w:r>
      <w:r w:rsidR="004A205D" w:rsidRPr="004A205D">
        <w:rPr>
          <w:rFonts w:ascii="Arial" w:hAnsi="Arial" w:cs="Arial"/>
        </w:rPr>
        <w:t>baja efectividad</w:t>
      </w:r>
      <w:r w:rsidR="001B1F4F" w:rsidRPr="004A205D">
        <w:rPr>
          <w:rFonts w:ascii="Arial" w:hAnsi="Arial" w:cs="Arial"/>
        </w:rPr>
        <w:t xml:space="preserve"> del actual</w:t>
      </w:r>
      <w:r w:rsidR="00470AC5" w:rsidRPr="004A205D">
        <w:rPr>
          <w:rFonts w:ascii="Arial" w:hAnsi="Arial" w:cs="Arial"/>
        </w:rPr>
        <w:t xml:space="preserve"> código para la diferenciación. </w:t>
      </w:r>
      <w:r w:rsidR="001B1F4F" w:rsidRPr="004A205D">
        <w:rPr>
          <w:rFonts w:ascii="Arial" w:hAnsi="Arial" w:cs="Arial"/>
        </w:rPr>
        <w:t>Desde su punto de vista</w:t>
      </w:r>
      <w:r w:rsidR="00550B7A">
        <w:rPr>
          <w:rFonts w:ascii="Arial" w:hAnsi="Arial" w:cs="Arial"/>
        </w:rPr>
        <w:t>,</w:t>
      </w:r>
      <w:r w:rsidR="001B1F4F" w:rsidRPr="004A205D">
        <w:rPr>
          <w:rFonts w:ascii="Arial" w:hAnsi="Arial" w:cs="Arial"/>
        </w:rPr>
        <w:t xml:space="preserve"> el </w:t>
      </w:r>
      <w:r w:rsidR="00550B7A">
        <w:rPr>
          <w:rFonts w:ascii="Arial" w:hAnsi="Arial" w:cs="Arial"/>
        </w:rPr>
        <w:t xml:space="preserve">elemento </w:t>
      </w:r>
      <w:r w:rsidR="001B1F4F" w:rsidRPr="004A205D">
        <w:rPr>
          <w:rFonts w:ascii="Arial" w:hAnsi="Arial" w:cs="Arial"/>
        </w:rPr>
        <w:t xml:space="preserve">gráfico </w:t>
      </w:r>
      <w:r w:rsidR="00550B7A">
        <w:rPr>
          <w:rFonts w:ascii="Arial" w:hAnsi="Arial" w:cs="Arial"/>
        </w:rPr>
        <w:t xml:space="preserve">(franja o plano rectangular de color) </w:t>
      </w:r>
      <w:r w:rsidR="001B1F4F" w:rsidRPr="004A205D">
        <w:rPr>
          <w:rFonts w:ascii="Arial" w:hAnsi="Arial" w:cs="Arial"/>
        </w:rPr>
        <w:t xml:space="preserve">debe </w:t>
      </w:r>
      <w:r w:rsidR="00550B7A">
        <w:rPr>
          <w:rFonts w:ascii="Arial" w:hAnsi="Arial" w:cs="Arial"/>
        </w:rPr>
        <w:t>tener</w:t>
      </w:r>
      <w:r w:rsidR="001B1F4F" w:rsidRPr="004A205D">
        <w:rPr>
          <w:rFonts w:ascii="Arial" w:hAnsi="Arial" w:cs="Arial"/>
        </w:rPr>
        <w:t xml:space="preserve"> mayor </w:t>
      </w:r>
      <w:r w:rsidR="00550B7A">
        <w:rPr>
          <w:rFonts w:ascii="Arial" w:hAnsi="Arial" w:cs="Arial"/>
        </w:rPr>
        <w:t xml:space="preserve">dimensión </w:t>
      </w:r>
      <w:r w:rsidR="001B1F4F" w:rsidRPr="004A205D">
        <w:rPr>
          <w:rFonts w:ascii="Arial" w:hAnsi="Arial" w:cs="Arial"/>
        </w:rPr>
        <w:t xml:space="preserve">para </w:t>
      </w:r>
      <w:r w:rsidR="00797673" w:rsidRPr="004A205D">
        <w:rPr>
          <w:rFonts w:ascii="Arial" w:hAnsi="Arial" w:cs="Arial"/>
        </w:rPr>
        <w:t>satisfacer</w:t>
      </w:r>
      <w:r w:rsidR="000C034D" w:rsidRPr="004A205D">
        <w:rPr>
          <w:rFonts w:ascii="Arial" w:hAnsi="Arial" w:cs="Arial"/>
        </w:rPr>
        <w:t xml:space="preserve"> su </w:t>
      </w:r>
      <w:r w:rsidR="00797673" w:rsidRPr="004A205D">
        <w:rPr>
          <w:rFonts w:ascii="Arial" w:hAnsi="Arial" w:cs="Arial"/>
        </w:rPr>
        <w:t>necesidad</w:t>
      </w:r>
      <w:r w:rsidR="000C034D" w:rsidRPr="004A205D">
        <w:rPr>
          <w:rFonts w:ascii="Arial" w:hAnsi="Arial" w:cs="Arial"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DA3F0A" w:rsidRPr="00713F24" w:rsidRDefault="000C034D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Pero la problemática trasciende al croma, sus dimensiones y colocación. La UEB Laboratorios </w:t>
      </w:r>
      <w:proofErr w:type="spellStart"/>
      <w:r w:rsidRPr="00713F24">
        <w:rPr>
          <w:rFonts w:ascii="Arial" w:hAnsi="Arial" w:cs="Arial"/>
        </w:rPr>
        <w:t>Liorad</w:t>
      </w:r>
      <w:proofErr w:type="spellEnd"/>
      <w:r w:rsidRPr="00713F24">
        <w:rPr>
          <w:rFonts w:ascii="Arial" w:hAnsi="Arial" w:cs="Arial"/>
        </w:rPr>
        <w:t>, perteneciente a la mencionada empresa productora, asignó un color a cada uno de sus productos, además del código ya establecido</w:t>
      </w:r>
      <w:r w:rsidR="007C114F" w:rsidRPr="00713F24">
        <w:rPr>
          <w:rFonts w:ascii="Arial" w:hAnsi="Arial" w:cs="Arial"/>
        </w:rPr>
        <w:t xml:space="preserve"> en la Regulación Nº 14-2009 CECMED</w:t>
      </w:r>
      <w:r w:rsidRPr="00713F24">
        <w:rPr>
          <w:rFonts w:ascii="Arial" w:hAnsi="Arial" w:cs="Arial"/>
        </w:rPr>
        <w:t xml:space="preserve">. El color está presente en la etiqueta acompañando al nombre del </w:t>
      </w:r>
      <w:r w:rsidR="00797673" w:rsidRPr="00713F24">
        <w:rPr>
          <w:rFonts w:ascii="Arial" w:hAnsi="Arial" w:cs="Arial"/>
        </w:rPr>
        <w:t>medicamento</w:t>
      </w:r>
      <w:r w:rsidRPr="00713F24">
        <w:rPr>
          <w:rFonts w:ascii="Arial" w:hAnsi="Arial" w:cs="Arial"/>
        </w:rPr>
        <w:t xml:space="preserve"> y en los casquillos de los bulbos</w:t>
      </w:r>
      <w:r w:rsidR="00797673" w:rsidRPr="00713F24">
        <w:rPr>
          <w:rFonts w:ascii="Arial" w:hAnsi="Arial" w:cs="Arial"/>
        </w:rPr>
        <w:t xml:space="preserve"> y </w:t>
      </w:r>
      <w:proofErr w:type="spellStart"/>
      <w:r w:rsidR="00797673" w:rsidRPr="00713F24">
        <w:rPr>
          <w:rFonts w:ascii="Arial" w:hAnsi="Arial" w:cs="Arial"/>
        </w:rPr>
        <w:t>carpules</w:t>
      </w:r>
      <w:proofErr w:type="spellEnd"/>
      <w:r w:rsidRPr="00713F24">
        <w:rPr>
          <w:rFonts w:ascii="Arial" w:hAnsi="Arial" w:cs="Arial"/>
        </w:rPr>
        <w:t xml:space="preserve">. Esta decisión garantiza mayor área y visibilidad para el color. Dicha acción fue un resultado de la tesis de maestría </w:t>
      </w:r>
      <w:r w:rsidRPr="00713F24">
        <w:rPr>
          <w:rFonts w:ascii="Arial" w:hAnsi="Arial" w:cs="Arial"/>
          <w:i/>
        </w:rPr>
        <w:t xml:space="preserve">“Satisfacción de los clientes en los Laboratorios </w:t>
      </w:r>
      <w:proofErr w:type="spellStart"/>
      <w:r w:rsidRPr="00713F24">
        <w:rPr>
          <w:rFonts w:ascii="Arial" w:hAnsi="Arial" w:cs="Arial"/>
          <w:i/>
        </w:rPr>
        <w:t>Liorad</w:t>
      </w:r>
      <w:proofErr w:type="spellEnd"/>
      <w:r w:rsidRPr="00713F24">
        <w:rPr>
          <w:rFonts w:ascii="Arial" w:hAnsi="Arial" w:cs="Arial"/>
          <w:i/>
        </w:rPr>
        <w:t>. Más allá de las buenas prácticas”</w:t>
      </w:r>
      <w:r w:rsidRPr="00713F24">
        <w:rPr>
          <w:rFonts w:ascii="Arial" w:hAnsi="Arial" w:cs="Arial"/>
        </w:rPr>
        <w:t>, que desafortunadamente no contó con la intervención de especialistas de comunicación y/o diseño, por lo que la selección cromática fue totalmente arbitraria</w:t>
      </w:r>
      <w:r w:rsidR="00DA3F0A" w:rsidRPr="00713F24">
        <w:rPr>
          <w:rFonts w:ascii="Arial" w:hAnsi="Arial" w:cs="Arial"/>
        </w:rPr>
        <w:t>, sin ninguna relación con lo establecido por el CECMED</w:t>
      </w:r>
      <w:r w:rsidRPr="00713F24">
        <w:rPr>
          <w:rFonts w:ascii="Arial" w:hAnsi="Arial" w:cs="Arial"/>
        </w:rPr>
        <w:t xml:space="preserve"> y continúa sin </w:t>
      </w:r>
      <w:r w:rsidR="00797673" w:rsidRPr="00713F24">
        <w:rPr>
          <w:rFonts w:ascii="Arial" w:hAnsi="Arial" w:cs="Arial"/>
        </w:rPr>
        <w:t>complacer</w:t>
      </w:r>
      <w:r w:rsidRPr="00713F24">
        <w:rPr>
          <w:rFonts w:ascii="Arial" w:hAnsi="Arial" w:cs="Arial"/>
        </w:rPr>
        <w:t xml:space="preserve"> a los usuarios</w:t>
      </w:r>
      <w:r w:rsidR="00DA3F0A" w:rsidRPr="00713F24">
        <w:rPr>
          <w:rFonts w:ascii="Arial" w:hAnsi="Arial" w:cs="Arial"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960E8A" w:rsidRPr="00713F24" w:rsidRDefault="00AD1DC4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La diferenciación cromática pudiera ser, o no, parte de la </w:t>
      </w:r>
      <w:r w:rsidR="001F3243" w:rsidRPr="00713F24">
        <w:rPr>
          <w:rFonts w:ascii="Arial" w:hAnsi="Arial" w:cs="Arial"/>
        </w:rPr>
        <w:t>satisfacción</w:t>
      </w:r>
      <w:r w:rsidRPr="00713F24">
        <w:rPr>
          <w:rFonts w:ascii="Arial" w:hAnsi="Arial" w:cs="Arial"/>
        </w:rPr>
        <w:t xml:space="preserve"> a la necesidad de los médicos</w:t>
      </w:r>
      <w:r w:rsidR="001F3243" w:rsidRPr="00713F24">
        <w:rPr>
          <w:rFonts w:ascii="Arial" w:hAnsi="Arial" w:cs="Arial"/>
        </w:rPr>
        <w:t>. Asig</w:t>
      </w:r>
      <w:r w:rsidR="004A205D">
        <w:rPr>
          <w:rFonts w:ascii="Arial" w:hAnsi="Arial" w:cs="Arial"/>
        </w:rPr>
        <w:t xml:space="preserve">nar un color a cada medicamento, de forma arbitraria o aleatoria, </w:t>
      </w:r>
      <w:r w:rsidR="001F3243" w:rsidRPr="00713F24">
        <w:rPr>
          <w:rFonts w:ascii="Arial" w:hAnsi="Arial" w:cs="Arial"/>
        </w:rPr>
        <w:t>obliga al especialista a asociar el color con el nombre del fármaco y realizar un ejercicio de memoria cada vez que necesite usarlo. Las probabilidades de erro</w:t>
      </w:r>
      <w:r w:rsidR="00960E8A" w:rsidRPr="00713F24">
        <w:rPr>
          <w:rFonts w:ascii="Arial" w:hAnsi="Arial" w:cs="Arial"/>
        </w:rPr>
        <w:t>r continuarían siendo elevadas</w:t>
      </w:r>
      <w:r w:rsidR="004A205D">
        <w:rPr>
          <w:rFonts w:ascii="Arial" w:hAnsi="Arial" w:cs="Arial"/>
        </w:rPr>
        <w:t>, más cuando se trata de al menos 23 productos</w:t>
      </w:r>
      <w:r w:rsidR="00960E8A" w:rsidRPr="00713F24">
        <w:rPr>
          <w:rFonts w:ascii="Arial" w:hAnsi="Arial" w:cs="Arial"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C034D" w:rsidRPr="00713F24" w:rsidRDefault="001F3243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Se impone entonces identificar estos medicamentos críticos, sus condiciones y contextos de uso</w:t>
      </w:r>
      <w:r w:rsidR="00DA3F0A" w:rsidRPr="00713F24">
        <w:rPr>
          <w:rFonts w:ascii="Arial" w:hAnsi="Arial" w:cs="Arial"/>
        </w:rPr>
        <w:t>.</w:t>
      </w:r>
      <w:r w:rsidRPr="00713F24">
        <w:rPr>
          <w:rFonts w:ascii="Arial" w:hAnsi="Arial" w:cs="Arial"/>
        </w:rPr>
        <w:t xml:space="preserve"> Determinar su cantidad y la factibilidad del uso de códigos cromáticos que permitan el contraste y diferenciación efectiva. Reconociendo de ante mano que la aplicación del color en la etiqueta no resuelve los problemas de identificación, tanto por sus dimensiones en el envase y los limitados espacios disponibles en ellas, como por la forma en que los medicamentos son organizados y agrupados en los escenarios críticos antes expuestos. 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  <w:b/>
        </w:rPr>
      </w:pPr>
    </w:p>
    <w:p w:rsidR="00483E25" w:rsidRPr="00713F24" w:rsidRDefault="00483E25" w:rsidP="00DD15D3">
      <w:pPr>
        <w:pStyle w:val="Sinespaciado"/>
        <w:spacing w:line="360" w:lineRule="auto"/>
        <w:jc w:val="both"/>
        <w:rPr>
          <w:rFonts w:ascii="Arial" w:hAnsi="Arial" w:cs="Arial"/>
          <w:b/>
        </w:rPr>
      </w:pPr>
      <w:r w:rsidRPr="00713F24">
        <w:rPr>
          <w:rFonts w:ascii="Arial" w:hAnsi="Arial" w:cs="Arial"/>
          <w:b/>
        </w:rPr>
        <w:t>Los fabricantes también le exigen al diseño del material de envase.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A86B76" w:rsidRPr="00713F24" w:rsidRDefault="00A86B76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N</w:t>
      </w:r>
      <w:r w:rsidR="00AA451C" w:rsidRPr="00713F24">
        <w:rPr>
          <w:rFonts w:ascii="Arial" w:hAnsi="Arial" w:cs="Arial"/>
        </w:rPr>
        <w:t xml:space="preserve">o son los médicos los únicos que </w:t>
      </w:r>
      <w:r w:rsidRPr="00713F24">
        <w:rPr>
          <w:rFonts w:ascii="Arial" w:hAnsi="Arial" w:cs="Arial"/>
        </w:rPr>
        <w:t>dan pie a requisitos para el diseño del</w:t>
      </w:r>
      <w:r w:rsidR="00AA451C" w:rsidRPr="00713F24">
        <w:rPr>
          <w:rFonts w:ascii="Arial" w:hAnsi="Arial" w:cs="Arial"/>
        </w:rPr>
        <w:t xml:space="preserve"> material de envase. Los productores también </w:t>
      </w:r>
      <w:r w:rsidRPr="00713F24">
        <w:rPr>
          <w:rFonts w:ascii="Arial" w:hAnsi="Arial" w:cs="Arial"/>
        </w:rPr>
        <w:t xml:space="preserve">tienen demandas. Los fabricantes de medicamentos, como de </w:t>
      </w:r>
      <w:r w:rsidRPr="00713F24">
        <w:rPr>
          <w:rFonts w:ascii="Arial" w:hAnsi="Arial" w:cs="Arial"/>
        </w:rPr>
        <w:lastRenderedPageBreak/>
        <w:t>cualquier otro producto, tienen la responsabilidad de conocer el histórico, la ubicación y la trayectoria</w:t>
      </w:r>
      <w:r w:rsidR="0066742A" w:rsidRPr="00713F24">
        <w:rPr>
          <w:rFonts w:ascii="Arial" w:hAnsi="Arial" w:cs="Arial"/>
        </w:rPr>
        <w:t xml:space="preserve"> </w:t>
      </w:r>
      <w:r w:rsidRPr="00713F24">
        <w:rPr>
          <w:rFonts w:ascii="Arial" w:hAnsi="Arial" w:cs="Arial"/>
        </w:rPr>
        <w:t xml:space="preserve">de sus productos a lo largo de toda </w:t>
      </w:r>
      <w:r w:rsidR="0066742A" w:rsidRPr="00713F24">
        <w:rPr>
          <w:rFonts w:ascii="Arial" w:hAnsi="Arial" w:cs="Arial"/>
        </w:rPr>
        <w:t>la cadena de suministros. Este proceso lleva el nombre de trazabilidad.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AA451C" w:rsidRPr="00713F24" w:rsidRDefault="0066742A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Esta gran responsabilidad, sumada al índice de error humano inherente </w:t>
      </w:r>
      <w:r w:rsidR="006316E7" w:rsidRPr="00713F24">
        <w:rPr>
          <w:rFonts w:ascii="Arial" w:hAnsi="Arial" w:cs="Arial"/>
        </w:rPr>
        <w:t>a todo proceso de e</w:t>
      </w:r>
      <w:r w:rsidRPr="00713F24">
        <w:rPr>
          <w:rFonts w:ascii="Arial" w:hAnsi="Arial" w:cs="Arial"/>
        </w:rPr>
        <w:t>sta índole</w:t>
      </w:r>
      <w:r w:rsidR="00CC6856" w:rsidRPr="00713F24">
        <w:rPr>
          <w:rFonts w:ascii="Arial" w:hAnsi="Arial" w:cs="Arial"/>
        </w:rPr>
        <w:t>,</w:t>
      </w:r>
      <w:r w:rsidRPr="00713F24">
        <w:rPr>
          <w:rFonts w:ascii="Arial" w:hAnsi="Arial" w:cs="Arial"/>
        </w:rPr>
        <w:t xml:space="preserve"> ha motivado </w:t>
      </w:r>
      <w:r w:rsidR="00AF7FFA">
        <w:rPr>
          <w:rFonts w:ascii="Arial" w:hAnsi="Arial" w:cs="Arial"/>
        </w:rPr>
        <w:t>a algunas empresas productoras</w:t>
      </w:r>
      <w:r w:rsidRPr="00713F24">
        <w:rPr>
          <w:rFonts w:ascii="Arial" w:hAnsi="Arial" w:cs="Arial"/>
        </w:rPr>
        <w:t xml:space="preserve"> </w:t>
      </w:r>
      <w:r w:rsidR="00AA451C" w:rsidRPr="00713F24">
        <w:rPr>
          <w:rFonts w:ascii="Arial" w:hAnsi="Arial" w:cs="Arial"/>
        </w:rPr>
        <w:t xml:space="preserve">a la futura incorporación de códigos </w:t>
      </w:r>
      <w:proofErr w:type="spellStart"/>
      <w:r w:rsidR="00F01A5E" w:rsidRPr="00713F24">
        <w:rPr>
          <w:rFonts w:ascii="Arial" w:hAnsi="Arial" w:cs="Arial"/>
          <w:i/>
        </w:rPr>
        <w:t>Datamatrix</w:t>
      </w:r>
      <w:proofErr w:type="spellEnd"/>
      <w:r w:rsidR="00DA7024" w:rsidRPr="00713F24">
        <w:rPr>
          <w:rFonts w:ascii="Arial" w:hAnsi="Arial" w:cs="Arial"/>
          <w:i/>
        </w:rPr>
        <w:t xml:space="preserve"> </w:t>
      </w:r>
      <w:r w:rsidR="005565DB" w:rsidRPr="00713F24">
        <w:rPr>
          <w:rStyle w:val="Refdenotaalpie"/>
          <w:rFonts w:ascii="Arial" w:hAnsi="Arial" w:cs="Arial"/>
        </w:rPr>
        <w:footnoteReference w:id="1"/>
      </w:r>
      <w:r w:rsidRPr="00713F24">
        <w:rPr>
          <w:rFonts w:ascii="Arial" w:hAnsi="Arial" w:cs="Arial"/>
        </w:rPr>
        <w:t xml:space="preserve"> en su </w:t>
      </w:r>
      <w:r w:rsidR="00AF7FFA">
        <w:rPr>
          <w:rFonts w:ascii="Arial" w:hAnsi="Arial" w:cs="Arial"/>
        </w:rPr>
        <w:t>sistema</w:t>
      </w:r>
      <w:r w:rsidRPr="00713F24">
        <w:rPr>
          <w:rFonts w:ascii="Arial" w:hAnsi="Arial" w:cs="Arial"/>
        </w:rPr>
        <w:t xml:space="preserve"> de envase</w:t>
      </w:r>
      <w:r w:rsidR="00AF7FFA">
        <w:rPr>
          <w:rFonts w:ascii="Arial" w:hAnsi="Arial" w:cs="Arial"/>
        </w:rPr>
        <w:t>s</w:t>
      </w:r>
      <w:r w:rsidRPr="00713F24">
        <w:rPr>
          <w:rFonts w:ascii="Arial" w:hAnsi="Arial" w:cs="Arial"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A320D" w:rsidRPr="00713F24" w:rsidRDefault="00A86B76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El código </w:t>
      </w:r>
      <w:proofErr w:type="spellStart"/>
      <w:r w:rsidRPr="00713F24">
        <w:rPr>
          <w:rFonts w:ascii="Arial" w:hAnsi="Arial" w:cs="Arial"/>
          <w:i/>
        </w:rPr>
        <w:t>Datamatrix</w:t>
      </w:r>
      <w:proofErr w:type="spellEnd"/>
      <w:r w:rsidRPr="00713F24">
        <w:rPr>
          <w:rFonts w:ascii="Arial" w:hAnsi="Arial" w:cs="Arial"/>
        </w:rPr>
        <w:t xml:space="preserve"> es parte de una nueva corriente en cuanto a la trazabilidad en muchas industrias,</w:t>
      </w:r>
      <w:r w:rsidR="00CC6856" w:rsidRPr="00713F24">
        <w:rPr>
          <w:rFonts w:ascii="Arial" w:hAnsi="Arial" w:cs="Arial"/>
        </w:rPr>
        <w:t xml:space="preserve"> </w:t>
      </w:r>
      <w:r w:rsidR="000A320D" w:rsidRPr="00713F24">
        <w:rPr>
          <w:rFonts w:ascii="Arial" w:hAnsi="Arial" w:cs="Arial"/>
        </w:rPr>
        <w:t xml:space="preserve">permite la generación de un gran volumen de </w:t>
      </w:r>
      <w:hyperlink r:id="rId9" w:history="1">
        <w:r w:rsidR="000A320D" w:rsidRPr="00713F24">
          <w:rPr>
            <w:rFonts w:ascii="Arial" w:hAnsi="Arial" w:cs="Arial"/>
          </w:rPr>
          <w:t>información</w:t>
        </w:r>
      </w:hyperlink>
      <w:r w:rsidR="000A320D" w:rsidRPr="00713F24">
        <w:rPr>
          <w:rFonts w:ascii="Arial" w:hAnsi="Arial" w:cs="Arial"/>
        </w:rPr>
        <w:t xml:space="preserve"> en un formato muy reducido, con</w:t>
      </w:r>
      <w:r w:rsidR="00CC6856" w:rsidRPr="00713F24">
        <w:rPr>
          <w:rFonts w:ascii="Arial" w:hAnsi="Arial" w:cs="Arial"/>
        </w:rPr>
        <w:t xml:space="preserve"> una alta fiabilidad de lectura, para lo que se emplea un sistema de reconocimiento compuesto por una cámara y un software con dicho fin. </w:t>
      </w:r>
      <w:r w:rsidR="000A320D" w:rsidRPr="00713F24">
        <w:rPr>
          <w:rFonts w:ascii="Arial" w:hAnsi="Arial" w:cs="Arial"/>
        </w:rPr>
        <w:t xml:space="preserve">Las técnicas que se utilizan para marcar directamente las piezas son variadas. Las más comunes son mediante </w:t>
      </w:r>
      <w:proofErr w:type="spellStart"/>
      <w:r w:rsidR="000A320D" w:rsidRPr="00713F24">
        <w:rPr>
          <w:rFonts w:ascii="Arial" w:hAnsi="Arial" w:cs="Arial"/>
        </w:rPr>
        <w:t>micropercusión</w:t>
      </w:r>
      <w:proofErr w:type="spellEnd"/>
      <w:r w:rsidR="000A320D" w:rsidRPr="00713F24">
        <w:rPr>
          <w:rFonts w:ascii="Arial" w:hAnsi="Arial" w:cs="Arial"/>
        </w:rPr>
        <w:t xml:space="preserve">, tinta, láser y grabado por productos químicos. 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DA3F0A" w:rsidRDefault="00DA3F0A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Su incorporación debe ser en cada nivel de identificación del </w:t>
      </w:r>
      <w:r w:rsidR="00AF7FFA">
        <w:rPr>
          <w:rFonts w:ascii="Arial" w:hAnsi="Arial" w:cs="Arial"/>
        </w:rPr>
        <w:t>sistema</w:t>
      </w:r>
      <w:r w:rsidRPr="00713F24">
        <w:rPr>
          <w:rFonts w:ascii="Arial" w:hAnsi="Arial" w:cs="Arial"/>
        </w:rPr>
        <w:t xml:space="preserve"> de envase</w:t>
      </w:r>
      <w:r w:rsidR="00AF7FFA">
        <w:rPr>
          <w:rFonts w:ascii="Arial" w:hAnsi="Arial" w:cs="Arial"/>
        </w:rPr>
        <w:t>s</w:t>
      </w:r>
      <w:r w:rsidRPr="00713F24">
        <w:rPr>
          <w:rFonts w:ascii="Arial" w:hAnsi="Arial" w:cs="Arial"/>
        </w:rPr>
        <w:t xml:space="preserve">: etiquetas para envase primario, estuches individuales, etiquetas para estuches múltiples y etiquetas para embalaje. La mayor complejidad se encuentra en los formatos de menores dimensiones (ampolletas de 1 y 2 </w:t>
      </w:r>
      <w:proofErr w:type="spellStart"/>
      <w:r w:rsidRPr="00713F24">
        <w:rPr>
          <w:rFonts w:ascii="Arial" w:hAnsi="Arial" w:cs="Arial"/>
        </w:rPr>
        <w:t>mL</w:t>
      </w:r>
      <w:proofErr w:type="spellEnd"/>
      <w:r w:rsidR="00DA7644" w:rsidRPr="00713F24">
        <w:rPr>
          <w:rFonts w:ascii="Arial" w:hAnsi="Arial" w:cs="Arial"/>
        </w:rPr>
        <w:t>, frascos para colirios</w:t>
      </w:r>
      <w:r w:rsidRPr="00713F24">
        <w:rPr>
          <w:rFonts w:ascii="Arial" w:hAnsi="Arial" w:cs="Arial"/>
        </w:rPr>
        <w:t xml:space="preserve"> y </w:t>
      </w:r>
      <w:proofErr w:type="spellStart"/>
      <w:r w:rsidRPr="00713F24">
        <w:rPr>
          <w:rFonts w:ascii="Arial" w:hAnsi="Arial" w:cs="Arial"/>
        </w:rPr>
        <w:t>carpules</w:t>
      </w:r>
      <w:proofErr w:type="spellEnd"/>
      <w:r w:rsidRPr="00713F24">
        <w:rPr>
          <w:rFonts w:ascii="Arial" w:hAnsi="Arial" w:cs="Arial"/>
        </w:rPr>
        <w:t xml:space="preserve">), pues </w:t>
      </w:r>
      <w:r w:rsidR="00A21F00" w:rsidRPr="00713F24">
        <w:rPr>
          <w:rFonts w:ascii="Arial" w:hAnsi="Arial" w:cs="Arial"/>
        </w:rPr>
        <w:t>sus superficies de 30 x 16 mm</w:t>
      </w:r>
      <w:r w:rsidR="00DA7644" w:rsidRPr="00713F24">
        <w:rPr>
          <w:rFonts w:ascii="Arial" w:hAnsi="Arial" w:cs="Arial"/>
        </w:rPr>
        <w:t>; 60 x 15 mm</w:t>
      </w:r>
      <w:r w:rsidR="00A21F00" w:rsidRPr="00713F24">
        <w:rPr>
          <w:rFonts w:ascii="Arial" w:hAnsi="Arial" w:cs="Arial"/>
        </w:rPr>
        <w:t xml:space="preserve"> y 30 x 37 mm </w:t>
      </w:r>
      <w:r w:rsidR="00AF7FFA">
        <w:rPr>
          <w:rFonts w:ascii="Arial" w:hAnsi="Arial" w:cs="Arial"/>
        </w:rPr>
        <w:t xml:space="preserve">respectivamente, </w:t>
      </w:r>
      <w:r w:rsidR="00A21F00" w:rsidRPr="00713F24">
        <w:rPr>
          <w:rFonts w:ascii="Arial" w:hAnsi="Arial" w:cs="Arial"/>
        </w:rPr>
        <w:t xml:space="preserve">hacen </w:t>
      </w:r>
      <w:r w:rsidRPr="00713F24">
        <w:rPr>
          <w:rFonts w:ascii="Arial" w:hAnsi="Arial" w:cs="Arial"/>
        </w:rPr>
        <w:t xml:space="preserve">el espacio muy reducido </w:t>
      </w:r>
      <w:r w:rsidR="00A21F00" w:rsidRPr="00713F24">
        <w:rPr>
          <w:rFonts w:ascii="Arial" w:hAnsi="Arial" w:cs="Arial"/>
        </w:rPr>
        <w:t>para</w:t>
      </w:r>
      <w:r w:rsidRPr="00713F24">
        <w:rPr>
          <w:rFonts w:ascii="Arial" w:hAnsi="Arial" w:cs="Arial"/>
        </w:rPr>
        <w:t xml:space="preserve"> contener</w:t>
      </w:r>
      <w:r w:rsidR="00F106A5" w:rsidRPr="00713F24">
        <w:rPr>
          <w:rFonts w:ascii="Arial" w:hAnsi="Arial" w:cs="Arial"/>
        </w:rPr>
        <w:t xml:space="preserve"> </w:t>
      </w:r>
      <w:r w:rsidR="00A21F00" w:rsidRPr="00713F24">
        <w:rPr>
          <w:rFonts w:ascii="Arial" w:hAnsi="Arial" w:cs="Arial"/>
        </w:rPr>
        <w:t>además del código (7 mm</w:t>
      </w:r>
      <w:r w:rsidR="00A21F00" w:rsidRPr="00713F24">
        <w:rPr>
          <w:rFonts w:ascii="Arial" w:hAnsi="Arial" w:cs="Arial"/>
          <w:vertAlign w:val="superscript"/>
        </w:rPr>
        <w:t>2</w:t>
      </w:r>
      <w:r w:rsidR="00A21F00" w:rsidRPr="00713F24">
        <w:rPr>
          <w:rFonts w:ascii="Arial" w:hAnsi="Arial" w:cs="Arial"/>
        </w:rPr>
        <w:t xml:space="preserve">), </w:t>
      </w:r>
      <w:r w:rsidRPr="00713F24">
        <w:rPr>
          <w:rFonts w:ascii="Arial" w:hAnsi="Arial" w:cs="Arial"/>
        </w:rPr>
        <w:t xml:space="preserve">las informaciones básicas establecidas por el CECMED: </w:t>
      </w:r>
    </w:p>
    <w:p w:rsidR="00713F24" w:rsidRP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A7644" w:rsidRPr="00713F24" w:rsidTr="00AF7FFA">
        <w:tc>
          <w:tcPr>
            <w:tcW w:w="2831" w:type="dxa"/>
            <w:tcBorders>
              <w:top w:val="single" w:sz="4" w:space="0" w:color="auto"/>
            </w:tcBorders>
          </w:tcPr>
          <w:p w:rsidR="00DA7644" w:rsidRPr="00713F24" w:rsidRDefault="00AF7FFA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13F24">
              <w:rPr>
                <w:rFonts w:ascii="Arial" w:hAnsi="Arial" w:cs="Arial"/>
                <w:b/>
              </w:rPr>
              <w:t>Ampolletas</w:t>
            </w:r>
          </w:p>
        </w:tc>
        <w:tc>
          <w:tcPr>
            <w:tcW w:w="2831" w:type="dxa"/>
            <w:tcBorders>
              <w:top w:val="single" w:sz="4" w:space="0" w:color="auto"/>
            </w:tcBorders>
          </w:tcPr>
          <w:p w:rsidR="00DA7644" w:rsidRPr="00713F24" w:rsidRDefault="00AF7FFA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713F24">
              <w:rPr>
                <w:rFonts w:ascii="Arial" w:hAnsi="Arial" w:cs="Arial"/>
                <w:b/>
              </w:rPr>
              <w:t>Carpules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DA7644" w:rsidRPr="00713F24" w:rsidRDefault="00AF7FFA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13F24">
              <w:rPr>
                <w:rFonts w:ascii="Arial" w:hAnsi="Arial" w:cs="Arial"/>
                <w:b/>
              </w:rPr>
              <w:t>Frascos para colirios</w:t>
            </w:r>
          </w:p>
        </w:tc>
      </w:tr>
      <w:tr w:rsidR="00DA7644" w:rsidRPr="00713F24" w:rsidTr="00AF7FFA">
        <w:tc>
          <w:tcPr>
            <w:tcW w:w="2831" w:type="dxa"/>
          </w:tcPr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 xml:space="preserve">Contenido (en </w:t>
            </w:r>
            <w:proofErr w:type="spellStart"/>
            <w:r w:rsidRPr="00713F24">
              <w:rPr>
                <w:rFonts w:ascii="Arial" w:hAnsi="Arial" w:cs="Arial"/>
              </w:rPr>
              <w:t>mL</w:t>
            </w:r>
            <w:proofErr w:type="spellEnd"/>
            <w:r w:rsidRPr="00713F24">
              <w:rPr>
                <w:rFonts w:ascii="Arial" w:hAnsi="Arial" w:cs="Arial"/>
              </w:rPr>
              <w:t>).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Nombre del producto.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Vía de administración.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Logotipo del titular.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Identificación del lote.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Fecha de vencimiento.</w:t>
            </w:r>
          </w:p>
        </w:tc>
        <w:tc>
          <w:tcPr>
            <w:tcW w:w="2831" w:type="dxa"/>
          </w:tcPr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 xml:space="preserve">Contenido (en </w:t>
            </w:r>
            <w:proofErr w:type="spellStart"/>
            <w:r w:rsidRPr="00713F24">
              <w:rPr>
                <w:rFonts w:ascii="Arial" w:hAnsi="Arial" w:cs="Arial"/>
              </w:rPr>
              <w:t>mL</w:t>
            </w:r>
            <w:proofErr w:type="spellEnd"/>
            <w:r w:rsidRPr="00713F24">
              <w:rPr>
                <w:rFonts w:ascii="Arial" w:hAnsi="Arial" w:cs="Arial"/>
              </w:rPr>
              <w:t>).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Nombre del producto.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Composición.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Logotipo del titular.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Identificación del lote.</w:t>
            </w:r>
          </w:p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Fecha de vencimiento.</w:t>
            </w:r>
          </w:p>
        </w:tc>
        <w:tc>
          <w:tcPr>
            <w:tcW w:w="2832" w:type="dxa"/>
          </w:tcPr>
          <w:p w:rsidR="00DA7644" w:rsidRPr="00713F24" w:rsidRDefault="00DA7644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 xml:space="preserve">Contenido (en </w:t>
            </w:r>
            <w:proofErr w:type="spellStart"/>
            <w:r w:rsidRPr="00713F24">
              <w:rPr>
                <w:rFonts w:ascii="Arial" w:hAnsi="Arial" w:cs="Arial"/>
              </w:rPr>
              <w:t>mL</w:t>
            </w:r>
            <w:proofErr w:type="spellEnd"/>
            <w:r w:rsidRPr="00713F24">
              <w:rPr>
                <w:rFonts w:ascii="Arial" w:hAnsi="Arial" w:cs="Arial"/>
              </w:rPr>
              <w:t>).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Nombre del producto.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Forma farmacéutica.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Composición.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Advertencias generales.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Logotipo del titular.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Condiciones de almacenamiento.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Identificación del lote.</w:t>
            </w:r>
          </w:p>
          <w:p w:rsidR="006326FF" w:rsidRPr="00713F24" w:rsidRDefault="006326FF" w:rsidP="00DD15D3">
            <w:pPr>
              <w:pStyle w:val="Sinespaciado"/>
              <w:spacing w:line="360" w:lineRule="auto"/>
              <w:jc w:val="both"/>
              <w:rPr>
                <w:rFonts w:ascii="Arial" w:hAnsi="Arial" w:cs="Arial"/>
              </w:rPr>
            </w:pPr>
            <w:r w:rsidRPr="00713F24">
              <w:rPr>
                <w:rFonts w:ascii="Arial" w:hAnsi="Arial" w:cs="Arial"/>
              </w:rPr>
              <w:t>Fecha de vencimiento.</w:t>
            </w:r>
          </w:p>
        </w:tc>
      </w:tr>
    </w:tbl>
    <w:p w:rsidR="00DA7644" w:rsidRPr="00713F24" w:rsidRDefault="00DA764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B05771" w:rsidRPr="00713F24" w:rsidRDefault="003E5729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Dada la imposibilidad de componer armónicamente </w:t>
      </w:r>
      <w:r w:rsidR="007C29E3" w:rsidRPr="00713F24">
        <w:rPr>
          <w:rFonts w:ascii="Arial" w:hAnsi="Arial" w:cs="Arial"/>
        </w:rPr>
        <w:t xml:space="preserve">en el reducido espacio </w:t>
      </w:r>
      <w:r w:rsidRPr="00713F24">
        <w:rPr>
          <w:rFonts w:ascii="Arial" w:hAnsi="Arial" w:cs="Arial"/>
        </w:rPr>
        <w:t xml:space="preserve">todos </w:t>
      </w:r>
      <w:r w:rsidR="00045050" w:rsidRPr="00713F24">
        <w:rPr>
          <w:rFonts w:ascii="Arial" w:hAnsi="Arial" w:cs="Arial"/>
        </w:rPr>
        <w:t xml:space="preserve">los </w:t>
      </w:r>
      <w:r w:rsidRPr="00713F24">
        <w:rPr>
          <w:rFonts w:ascii="Arial" w:hAnsi="Arial" w:cs="Arial"/>
        </w:rPr>
        <w:t>textos</w:t>
      </w:r>
      <w:r w:rsidR="00045050" w:rsidRPr="00713F24">
        <w:rPr>
          <w:rFonts w:ascii="Arial" w:hAnsi="Arial" w:cs="Arial"/>
        </w:rPr>
        <w:t xml:space="preserve"> correspondientes</w:t>
      </w:r>
      <w:r w:rsidRPr="00713F24">
        <w:rPr>
          <w:rFonts w:ascii="Arial" w:hAnsi="Arial" w:cs="Arial"/>
        </w:rPr>
        <w:t xml:space="preserve"> </w:t>
      </w:r>
      <w:r w:rsidR="007C29E3" w:rsidRPr="00713F24">
        <w:rPr>
          <w:rFonts w:ascii="Arial" w:hAnsi="Arial" w:cs="Arial"/>
        </w:rPr>
        <w:t>más el gráfico</w:t>
      </w:r>
      <w:r w:rsidRPr="00713F24">
        <w:rPr>
          <w:rFonts w:ascii="Arial" w:hAnsi="Arial" w:cs="Arial"/>
        </w:rPr>
        <w:t xml:space="preserve">, los productores valoran la opción de aumentar el tamaño de la etiqueta y reducir el puntaje de los tipos móviles con los que se imprimen los </w:t>
      </w:r>
      <w:r w:rsidR="00AF7FFA">
        <w:rPr>
          <w:rFonts w:ascii="Arial" w:hAnsi="Arial" w:cs="Arial"/>
        </w:rPr>
        <w:t xml:space="preserve">la identificación del lote y la fecha de vencimiento. </w:t>
      </w:r>
      <w:r w:rsidRPr="00713F24">
        <w:rPr>
          <w:rFonts w:ascii="Arial" w:hAnsi="Arial" w:cs="Arial"/>
        </w:rPr>
        <w:t xml:space="preserve">El tamaño de las etiquetas está condicionado por el propio envase, cuya superficie útil para este fin es </w:t>
      </w:r>
      <w:r w:rsidR="00045050" w:rsidRPr="00713F24">
        <w:rPr>
          <w:rFonts w:ascii="Arial" w:hAnsi="Arial" w:cs="Arial"/>
        </w:rPr>
        <w:t xml:space="preserve">restringida por la lógica relación con su contenido. </w:t>
      </w:r>
      <w:r w:rsidRPr="00713F24">
        <w:rPr>
          <w:rFonts w:ascii="Arial" w:hAnsi="Arial" w:cs="Arial"/>
        </w:rPr>
        <w:t xml:space="preserve">El lote y vence </w:t>
      </w:r>
      <w:r w:rsidR="00045050" w:rsidRPr="00713F24">
        <w:rPr>
          <w:rFonts w:ascii="Arial" w:hAnsi="Arial" w:cs="Arial"/>
        </w:rPr>
        <w:t>son</w:t>
      </w:r>
      <w:r w:rsidRPr="00713F24">
        <w:rPr>
          <w:rFonts w:ascii="Arial" w:hAnsi="Arial" w:cs="Arial"/>
        </w:rPr>
        <w:t xml:space="preserve"> quizás</w:t>
      </w:r>
      <w:r w:rsidR="00045050" w:rsidRPr="00713F24">
        <w:rPr>
          <w:rFonts w:ascii="Arial" w:hAnsi="Arial" w:cs="Arial"/>
        </w:rPr>
        <w:t xml:space="preserve"> de </w:t>
      </w:r>
      <w:r w:rsidRPr="00713F24">
        <w:rPr>
          <w:rFonts w:ascii="Arial" w:hAnsi="Arial" w:cs="Arial"/>
        </w:rPr>
        <w:t>la</w:t>
      </w:r>
      <w:r w:rsidR="00045050" w:rsidRPr="00713F24">
        <w:rPr>
          <w:rFonts w:ascii="Arial" w:hAnsi="Arial" w:cs="Arial"/>
        </w:rPr>
        <w:t>s informacio</w:t>
      </w:r>
      <w:r w:rsidRPr="00713F24">
        <w:rPr>
          <w:rFonts w:ascii="Arial" w:hAnsi="Arial" w:cs="Arial"/>
        </w:rPr>
        <w:t>n</w:t>
      </w:r>
      <w:r w:rsidR="00045050" w:rsidRPr="00713F24">
        <w:rPr>
          <w:rFonts w:ascii="Arial" w:hAnsi="Arial" w:cs="Arial"/>
        </w:rPr>
        <w:t>es</w:t>
      </w:r>
      <w:r w:rsidRPr="00713F24">
        <w:rPr>
          <w:rFonts w:ascii="Arial" w:hAnsi="Arial" w:cs="Arial"/>
        </w:rPr>
        <w:t xml:space="preserve"> más importante </w:t>
      </w:r>
      <w:r w:rsidR="007C29E3" w:rsidRPr="00713F24">
        <w:rPr>
          <w:rFonts w:ascii="Arial" w:hAnsi="Arial" w:cs="Arial"/>
        </w:rPr>
        <w:t xml:space="preserve">del producto y es imprescindible garantizar su legibilidad </w:t>
      </w:r>
      <w:proofErr w:type="spellStart"/>
      <w:r w:rsidR="00550B7A">
        <w:rPr>
          <w:rFonts w:ascii="Arial" w:hAnsi="Arial" w:cs="Arial"/>
        </w:rPr>
        <w:t>aún</w:t>
      </w:r>
      <w:proofErr w:type="spellEnd"/>
      <w:r w:rsidR="00550B7A">
        <w:rPr>
          <w:rFonts w:ascii="Arial" w:hAnsi="Arial" w:cs="Arial"/>
        </w:rPr>
        <w:t xml:space="preserve"> empleando</w:t>
      </w:r>
      <w:r w:rsidR="007C29E3" w:rsidRPr="00713F24">
        <w:rPr>
          <w:rFonts w:ascii="Arial" w:hAnsi="Arial" w:cs="Arial"/>
        </w:rPr>
        <w:t xml:space="preserve"> métodos de impresión de menor calidad. 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F106A5" w:rsidRPr="00713F24" w:rsidRDefault="00F106A5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Como tecnología, la incorporación del </w:t>
      </w:r>
      <w:proofErr w:type="spellStart"/>
      <w:r w:rsidRPr="00713F24">
        <w:rPr>
          <w:rFonts w:ascii="Arial" w:hAnsi="Arial" w:cs="Arial"/>
          <w:i/>
        </w:rPr>
        <w:t>Datamatrix</w:t>
      </w:r>
      <w:proofErr w:type="spellEnd"/>
      <w:r w:rsidRPr="00713F24">
        <w:rPr>
          <w:rFonts w:ascii="Arial" w:hAnsi="Arial" w:cs="Arial"/>
        </w:rPr>
        <w:t xml:space="preserve"> es ventajosa. Aunque inicialmente su uso estaría limitado a la revisión, para garantizar la coincidencia de la etiqueta con el producto, deberá irse ampliando hacia otros ámbitos</w:t>
      </w:r>
      <w:r w:rsidR="004147BC" w:rsidRPr="00713F24">
        <w:rPr>
          <w:rFonts w:ascii="Arial" w:hAnsi="Arial" w:cs="Arial"/>
        </w:rPr>
        <w:t xml:space="preserve"> a medida que el desarrollo e implementación de las </w:t>
      </w:r>
      <w:r w:rsidR="004147BC" w:rsidRPr="00AF7FFA">
        <w:rPr>
          <w:rFonts w:ascii="Arial" w:hAnsi="Arial" w:cs="Arial"/>
          <w:i/>
        </w:rPr>
        <w:t>TIC</w:t>
      </w:r>
      <w:r w:rsidR="004147BC" w:rsidRPr="00713F24">
        <w:rPr>
          <w:rFonts w:ascii="Arial" w:hAnsi="Arial" w:cs="Arial"/>
        </w:rPr>
        <w:t xml:space="preserve"> en el sector lo permitan. Estos códigos podrían llegar a contener parte de </w:t>
      </w:r>
      <w:r w:rsidR="00A21F00" w:rsidRPr="00713F24">
        <w:rPr>
          <w:rFonts w:ascii="Arial" w:hAnsi="Arial" w:cs="Arial"/>
        </w:rPr>
        <w:t>los datos</w:t>
      </w:r>
      <w:r w:rsidR="004147BC" w:rsidRPr="00713F24">
        <w:rPr>
          <w:rFonts w:ascii="Arial" w:hAnsi="Arial" w:cs="Arial"/>
        </w:rPr>
        <w:t xml:space="preserve"> que hoy debe exhibir el material de </w:t>
      </w:r>
      <w:r w:rsidR="00550B7A">
        <w:rPr>
          <w:rFonts w:ascii="Arial" w:hAnsi="Arial" w:cs="Arial"/>
        </w:rPr>
        <w:t>en</w:t>
      </w:r>
      <w:r w:rsidR="004147BC" w:rsidRPr="00713F24">
        <w:rPr>
          <w:rFonts w:ascii="Arial" w:hAnsi="Arial" w:cs="Arial"/>
        </w:rPr>
        <w:t>vase. Aplicando los principios de la realidad aumentada, da la posibilidad a los usuarios de interactuar y obtener mayor información.</w:t>
      </w:r>
      <w:r w:rsidR="00DB22C2" w:rsidRPr="00713F24">
        <w:rPr>
          <w:rFonts w:ascii="Arial" w:hAnsi="Arial" w:cs="Arial"/>
        </w:rPr>
        <w:t xml:space="preserve"> 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  <w:b/>
        </w:rPr>
      </w:pPr>
    </w:p>
    <w:p w:rsidR="00483E25" w:rsidRPr="00713F24" w:rsidRDefault="005F58BA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  <w:b/>
        </w:rPr>
        <w:t>Nuevas formas de presentación en introducción</w:t>
      </w:r>
      <w:r w:rsidR="00483E25" w:rsidRPr="00713F24">
        <w:rPr>
          <w:rFonts w:ascii="Arial" w:hAnsi="Arial" w:cs="Arial"/>
          <w:b/>
        </w:rPr>
        <w:t>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5F58BA" w:rsidRPr="00713F24" w:rsidRDefault="005A44FE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Es de suma importancia </w:t>
      </w:r>
      <w:r w:rsidR="00247738" w:rsidRPr="00713F24">
        <w:rPr>
          <w:rFonts w:ascii="Arial" w:hAnsi="Arial" w:cs="Arial"/>
        </w:rPr>
        <w:t xml:space="preserve">incorporar la prospectiva a los análisis </w:t>
      </w:r>
      <w:r w:rsidR="006E0D50" w:rsidRPr="00713F24">
        <w:rPr>
          <w:rFonts w:ascii="Arial" w:hAnsi="Arial" w:cs="Arial"/>
        </w:rPr>
        <w:t xml:space="preserve">que intentarán dar solución a las problemáticas planteadas. </w:t>
      </w:r>
      <w:r w:rsidR="00AA451C" w:rsidRPr="00713F24">
        <w:rPr>
          <w:rFonts w:ascii="Arial" w:hAnsi="Arial" w:cs="Arial"/>
        </w:rPr>
        <w:t xml:space="preserve">De la misma manera que otros productos han evolucionado en su diseño, las formas de presentación de los medicamentos </w:t>
      </w:r>
      <w:r w:rsidR="006E0D50" w:rsidRPr="00713F24">
        <w:rPr>
          <w:rFonts w:ascii="Arial" w:hAnsi="Arial" w:cs="Arial"/>
        </w:rPr>
        <w:t xml:space="preserve">lo </w:t>
      </w:r>
      <w:r w:rsidR="00AA451C" w:rsidRPr="00713F24">
        <w:rPr>
          <w:rFonts w:ascii="Arial" w:hAnsi="Arial" w:cs="Arial"/>
        </w:rPr>
        <w:t>han</w:t>
      </w:r>
      <w:r w:rsidR="00B35628" w:rsidRPr="00713F24">
        <w:rPr>
          <w:rFonts w:ascii="Arial" w:hAnsi="Arial" w:cs="Arial"/>
        </w:rPr>
        <w:t xml:space="preserve"> hecho</w:t>
      </w:r>
      <w:r w:rsidR="00AA451C" w:rsidRPr="00713F24">
        <w:rPr>
          <w:rFonts w:ascii="Arial" w:hAnsi="Arial" w:cs="Arial"/>
        </w:rPr>
        <w:t xml:space="preserve"> en consecuencia con el desarrollo tecnológico, los descubrimientos y avances científicos. La inocuidad de los medicamentos, el análisis de las causas de las reacciones adversas</w:t>
      </w:r>
      <w:r w:rsidR="00A066CE" w:rsidRPr="00713F24">
        <w:rPr>
          <w:rFonts w:ascii="Arial" w:hAnsi="Arial" w:cs="Arial"/>
        </w:rPr>
        <w:t xml:space="preserve"> y los procesos de mejora continua</w:t>
      </w:r>
      <w:r w:rsidR="00550B7A">
        <w:rPr>
          <w:rFonts w:ascii="Arial" w:hAnsi="Arial" w:cs="Arial"/>
        </w:rPr>
        <w:t>,</w:t>
      </w:r>
      <w:r w:rsidR="00A066CE" w:rsidRPr="00713F24">
        <w:rPr>
          <w:rFonts w:ascii="Arial" w:hAnsi="Arial" w:cs="Arial"/>
        </w:rPr>
        <w:t xml:space="preserve"> </w:t>
      </w:r>
      <w:r w:rsidR="00AA451C" w:rsidRPr="00713F24">
        <w:rPr>
          <w:rFonts w:ascii="Arial" w:hAnsi="Arial" w:cs="Arial"/>
        </w:rPr>
        <w:t xml:space="preserve">están moviendo a la industria farmacéutica hacia </w:t>
      </w:r>
      <w:r w:rsidR="005F58BA" w:rsidRPr="00713F24">
        <w:rPr>
          <w:rFonts w:ascii="Arial" w:hAnsi="Arial" w:cs="Arial"/>
        </w:rPr>
        <w:t>la incorporación</w:t>
      </w:r>
      <w:r w:rsidR="00550B7A">
        <w:rPr>
          <w:rFonts w:ascii="Arial" w:hAnsi="Arial" w:cs="Arial"/>
        </w:rPr>
        <w:t>,</w:t>
      </w:r>
      <w:r w:rsidR="005F58BA" w:rsidRPr="00713F24">
        <w:rPr>
          <w:rFonts w:ascii="Arial" w:hAnsi="Arial" w:cs="Arial"/>
        </w:rPr>
        <w:t xml:space="preserve"> cada vez mayor</w:t>
      </w:r>
      <w:r w:rsidR="00550B7A">
        <w:rPr>
          <w:rFonts w:ascii="Arial" w:hAnsi="Arial" w:cs="Arial"/>
        </w:rPr>
        <w:t>,</w:t>
      </w:r>
      <w:r w:rsidR="005F58BA" w:rsidRPr="00713F24">
        <w:rPr>
          <w:rFonts w:ascii="Arial" w:hAnsi="Arial" w:cs="Arial"/>
        </w:rPr>
        <w:t xml:space="preserve"> de </w:t>
      </w:r>
      <w:r w:rsidR="00AA451C" w:rsidRPr="00713F24">
        <w:rPr>
          <w:rFonts w:ascii="Arial" w:hAnsi="Arial" w:cs="Arial"/>
        </w:rPr>
        <w:t xml:space="preserve">los envases de </w:t>
      </w:r>
      <w:proofErr w:type="spellStart"/>
      <w:r w:rsidR="005F58BA" w:rsidRPr="00713F24">
        <w:rPr>
          <w:rFonts w:ascii="Arial" w:hAnsi="Arial" w:cs="Arial"/>
        </w:rPr>
        <w:t>uni</w:t>
      </w:r>
      <w:r w:rsidR="00AA451C" w:rsidRPr="00713F24">
        <w:rPr>
          <w:rFonts w:ascii="Arial" w:hAnsi="Arial" w:cs="Arial"/>
        </w:rPr>
        <w:t>dosis</w:t>
      </w:r>
      <w:proofErr w:type="spellEnd"/>
      <w:r w:rsidR="00F75EB3" w:rsidRPr="00713F24">
        <w:rPr>
          <w:rFonts w:ascii="Arial" w:hAnsi="Arial" w:cs="Arial"/>
          <w:i/>
        </w:rPr>
        <w:t xml:space="preserve"> </w:t>
      </w:r>
      <w:r w:rsidR="00F01A5E" w:rsidRPr="00713F24">
        <w:rPr>
          <w:rStyle w:val="Refdenotaalpie"/>
          <w:rFonts w:ascii="Arial" w:hAnsi="Arial" w:cs="Arial"/>
        </w:rPr>
        <w:footnoteReference w:id="2"/>
      </w:r>
      <w:r w:rsidR="00F01A5E" w:rsidRPr="00713F24">
        <w:rPr>
          <w:rFonts w:ascii="Arial" w:hAnsi="Arial" w:cs="Arial"/>
          <w:i/>
        </w:rPr>
        <w:t xml:space="preserve"> </w:t>
      </w:r>
      <w:r w:rsidR="005F58BA" w:rsidRPr="00713F24">
        <w:rPr>
          <w:rFonts w:ascii="Arial" w:hAnsi="Arial" w:cs="Arial"/>
        </w:rPr>
        <w:t xml:space="preserve">y </w:t>
      </w:r>
      <w:proofErr w:type="spellStart"/>
      <w:r w:rsidR="00E90C22" w:rsidRPr="00713F24">
        <w:rPr>
          <w:rFonts w:ascii="Arial" w:hAnsi="Arial" w:cs="Arial"/>
        </w:rPr>
        <w:t>monodosis</w:t>
      </w:r>
      <w:proofErr w:type="spellEnd"/>
      <w:r w:rsidR="00F01A5E" w:rsidRPr="00713F24">
        <w:rPr>
          <w:rStyle w:val="Refdenotaalpie"/>
          <w:rFonts w:ascii="Arial" w:hAnsi="Arial" w:cs="Arial"/>
        </w:rPr>
        <w:footnoteReference w:id="3"/>
      </w:r>
      <w:r w:rsidR="005F58BA" w:rsidRPr="00713F24">
        <w:rPr>
          <w:rFonts w:ascii="Arial" w:hAnsi="Arial" w:cs="Arial"/>
        </w:rPr>
        <w:t xml:space="preserve">. 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97673" w:rsidRPr="00713F24" w:rsidRDefault="005F58BA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>Estos nuevos contenedores en introducción en la industria farmacéutica cubana poseen</w:t>
      </w:r>
      <w:r w:rsidR="00860339" w:rsidRPr="00713F24">
        <w:rPr>
          <w:rFonts w:ascii="Arial" w:hAnsi="Arial" w:cs="Arial"/>
        </w:rPr>
        <w:t xml:space="preserve"> </w:t>
      </w:r>
      <w:r w:rsidR="00AA451C" w:rsidRPr="00713F24">
        <w:rPr>
          <w:rFonts w:ascii="Arial" w:hAnsi="Arial" w:cs="Arial"/>
        </w:rPr>
        <w:t xml:space="preserve">características morfológicas </w:t>
      </w:r>
      <w:r w:rsidR="006B793A" w:rsidRPr="00713F24">
        <w:rPr>
          <w:rFonts w:ascii="Arial" w:hAnsi="Arial" w:cs="Arial"/>
        </w:rPr>
        <w:t xml:space="preserve">que </w:t>
      </w:r>
      <w:r w:rsidR="00AA451C" w:rsidRPr="00713F24">
        <w:rPr>
          <w:rFonts w:ascii="Arial" w:hAnsi="Arial" w:cs="Arial"/>
        </w:rPr>
        <w:t xml:space="preserve">generan un grupo de condicionantes que no están en sintonía con la regulación del </w:t>
      </w:r>
      <w:r w:rsidR="00860339" w:rsidRPr="00713F24">
        <w:rPr>
          <w:rFonts w:ascii="Arial" w:hAnsi="Arial" w:cs="Arial"/>
        </w:rPr>
        <w:t xml:space="preserve">CECMED. Hablamos principalmente de jeringas </w:t>
      </w:r>
      <w:proofErr w:type="spellStart"/>
      <w:r w:rsidR="00860339" w:rsidRPr="00713F24">
        <w:rPr>
          <w:rFonts w:ascii="Arial" w:hAnsi="Arial" w:cs="Arial"/>
        </w:rPr>
        <w:t>prellenadas</w:t>
      </w:r>
      <w:proofErr w:type="spellEnd"/>
      <w:r w:rsidR="00860339" w:rsidRPr="00713F24">
        <w:rPr>
          <w:rFonts w:ascii="Arial" w:hAnsi="Arial" w:cs="Arial"/>
        </w:rPr>
        <w:t xml:space="preserve"> y </w:t>
      </w:r>
      <w:r w:rsidR="00860339" w:rsidRPr="00713F24">
        <w:rPr>
          <w:rFonts w:ascii="Arial" w:hAnsi="Arial" w:cs="Arial"/>
        </w:rPr>
        <w:lastRenderedPageBreak/>
        <w:t xml:space="preserve">pequeños </w:t>
      </w:r>
      <w:r w:rsidR="00DA7644" w:rsidRPr="00713F24">
        <w:rPr>
          <w:rFonts w:ascii="Arial" w:hAnsi="Arial" w:cs="Arial"/>
        </w:rPr>
        <w:t>frascos</w:t>
      </w:r>
      <w:r w:rsidR="00AA451C" w:rsidRPr="00713F24">
        <w:rPr>
          <w:rFonts w:ascii="Arial" w:hAnsi="Arial" w:cs="Arial"/>
        </w:rPr>
        <w:t xml:space="preserve"> </w:t>
      </w:r>
      <w:r w:rsidR="00860339" w:rsidRPr="00713F24">
        <w:rPr>
          <w:rFonts w:ascii="Arial" w:hAnsi="Arial" w:cs="Arial"/>
        </w:rPr>
        <w:t xml:space="preserve">para colirios, cuyas dimensiones generales no superan los 100 x 15 mm </w:t>
      </w:r>
      <w:r w:rsidR="006B793A" w:rsidRPr="00713F24">
        <w:rPr>
          <w:rFonts w:ascii="Arial" w:hAnsi="Arial" w:cs="Arial"/>
        </w:rPr>
        <w:t xml:space="preserve">y </w:t>
      </w:r>
      <w:r w:rsidR="00860339" w:rsidRPr="00713F24">
        <w:rPr>
          <w:rFonts w:ascii="Arial" w:hAnsi="Arial" w:cs="Arial"/>
        </w:rPr>
        <w:t>40 x 15 mm</w:t>
      </w:r>
      <w:r w:rsidR="006B793A" w:rsidRPr="00713F24">
        <w:rPr>
          <w:rFonts w:ascii="Arial" w:hAnsi="Arial" w:cs="Arial"/>
        </w:rPr>
        <w:t xml:space="preserve"> respectivamente. No es necesario bocetar para convencerse de la imposibilidad de estos frascos de brindar la información exigida</w:t>
      </w:r>
      <w:r w:rsidR="00600121" w:rsidRPr="00713F24">
        <w:rPr>
          <w:rFonts w:ascii="Arial" w:hAnsi="Arial" w:cs="Arial"/>
        </w:rPr>
        <w:t xml:space="preserve">. Una solución inmediata para esto sería retomar la idea del </w:t>
      </w:r>
      <w:proofErr w:type="spellStart"/>
      <w:r w:rsidR="00600121" w:rsidRPr="00713F24">
        <w:rPr>
          <w:rFonts w:ascii="Arial" w:hAnsi="Arial" w:cs="Arial"/>
          <w:i/>
        </w:rPr>
        <w:t>Datamatrix</w:t>
      </w:r>
      <w:proofErr w:type="spellEnd"/>
      <w:r w:rsidR="00600121" w:rsidRPr="00713F24">
        <w:rPr>
          <w:rFonts w:ascii="Arial" w:hAnsi="Arial" w:cs="Arial"/>
        </w:rPr>
        <w:t xml:space="preserve"> y la realidad aumentada</w:t>
      </w:r>
      <w:r w:rsidR="00895CD3" w:rsidRPr="00713F24">
        <w:rPr>
          <w:rFonts w:ascii="Arial" w:hAnsi="Arial" w:cs="Arial"/>
        </w:rPr>
        <w:t xml:space="preserve"> como sucede en muchos lugares del planeta.</w:t>
      </w:r>
      <w:r w:rsidR="00600121" w:rsidRPr="00713F24">
        <w:rPr>
          <w:rFonts w:ascii="Arial" w:hAnsi="Arial" w:cs="Arial"/>
        </w:rPr>
        <w:t xml:space="preserve"> </w:t>
      </w:r>
      <w:r w:rsidR="00895CD3" w:rsidRPr="00713F24">
        <w:rPr>
          <w:rFonts w:ascii="Arial" w:hAnsi="Arial" w:cs="Arial"/>
        </w:rPr>
        <w:t>S</w:t>
      </w:r>
      <w:r w:rsidR="00600121" w:rsidRPr="00713F24">
        <w:rPr>
          <w:rFonts w:ascii="Arial" w:hAnsi="Arial" w:cs="Arial"/>
        </w:rPr>
        <w:t xml:space="preserve">olo que no se </w:t>
      </w:r>
      <w:r w:rsidR="00AA451C" w:rsidRPr="00713F24">
        <w:rPr>
          <w:rFonts w:ascii="Arial" w:hAnsi="Arial" w:cs="Arial"/>
        </w:rPr>
        <w:t>cuenta con la inf</w:t>
      </w:r>
      <w:r w:rsidR="00797673" w:rsidRPr="00713F24">
        <w:rPr>
          <w:rFonts w:ascii="Arial" w:hAnsi="Arial" w:cs="Arial"/>
        </w:rPr>
        <w:t xml:space="preserve">raestructura </w:t>
      </w:r>
      <w:r w:rsidR="00600121" w:rsidRPr="00713F24">
        <w:rPr>
          <w:rFonts w:ascii="Arial" w:hAnsi="Arial" w:cs="Arial"/>
        </w:rPr>
        <w:t xml:space="preserve">tecnológica </w:t>
      </w:r>
      <w:r w:rsidR="00797673" w:rsidRPr="00713F24">
        <w:rPr>
          <w:rFonts w:ascii="Arial" w:hAnsi="Arial" w:cs="Arial"/>
        </w:rPr>
        <w:t>necesaria en Cuba.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C527CB" w:rsidRPr="00713F24" w:rsidRDefault="00C527CB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Los nuevos escenarios que se imponen exigen la pronta </w:t>
      </w:r>
      <w:r w:rsidR="00147579" w:rsidRPr="00713F24">
        <w:rPr>
          <w:rFonts w:ascii="Arial" w:hAnsi="Arial" w:cs="Arial"/>
        </w:rPr>
        <w:t>adecuación de las regulaciones para el material de envase para medicamentos de uso humano. La oportuna incorporación de los profesionales del diseño a procesos de esta índole deberá dar al traste con un producto más eficiente desde el punto de vista de la comunicación visual.</w:t>
      </w:r>
      <w:r w:rsidR="00B50EB7" w:rsidRPr="00713F24">
        <w:rPr>
          <w:rFonts w:ascii="Arial" w:hAnsi="Arial" w:cs="Arial"/>
        </w:rPr>
        <w:t xml:space="preserve"> Sin perder de vista que el diseño del material de envase tiene posibilidades comunicacionales finitas en aras de satisfacer las necesidades antes descritas. 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B50EB7" w:rsidRPr="00713F24" w:rsidRDefault="00B05771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713F24">
        <w:rPr>
          <w:rFonts w:ascii="Arial" w:hAnsi="Arial" w:cs="Arial"/>
        </w:rPr>
        <w:t xml:space="preserve">Evaluar los pros y contras de la incorporación del </w:t>
      </w:r>
      <w:proofErr w:type="spellStart"/>
      <w:r w:rsidRPr="00713F24">
        <w:rPr>
          <w:rFonts w:ascii="Arial" w:hAnsi="Arial" w:cs="Arial"/>
          <w:i/>
        </w:rPr>
        <w:t>Datamatrix</w:t>
      </w:r>
      <w:proofErr w:type="spellEnd"/>
      <w:r w:rsidRPr="00713F24">
        <w:rPr>
          <w:rFonts w:ascii="Arial" w:hAnsi="Arial" w:cs="Arial"/>
        </w:rPr>
        <w:t xml:space="preserve"> en nuestras actuales condiciones; valorar alternativas como llevar el color al propio envase, en caso de que el empleo de la estrategia cromática sea realmente eficiente, o garantizar una organización del espacio de trabajo que propicie la diferenciación y evite la confusión; </w:t>
      </w:r>
      <w:r w:rsidR="00045050" w:rsidRPr="00713F24">
        <w:rPr>
          <w:rFonts w:ascii="Arial" w:hAnsi="Arial" w:cs="Arial"/>
        </w:rPr>
        <w:t>y</w:t>
      </w:r>
      <w:r w:rsidRPr="00713F24">
        <w:rPr>
          <w:rFonts w:ascii="Arial" w:hAnsi="Arial" w:cs="Arial"/>
        </w:rPr>
        <w:t xml:space="preserve"> la definición del manejo de la información en las formas de presentación que se avizoran</w:t>
      </w:r>
      <w:r w:rsidR="003E5729" w:rsidRPr="00713F24">
        <w:rPr>
          <w:rFonts w:ascii="Arial" w:hAnsi="Arial" w:cs="Arial"/>
        </w:rPr>
        <w:t>;</w:t>
      </w:r>
      <w:r w:rsidRPr="00713F24">
        <w:rPr>
          <w:rFonts w:ascii="Arial" w:hAnsi="Arial" w:cs="Arial"/>
        </w:rPr>
        <w:t xml:space="preserve"> son sin dudas tareas que no deben desarrollarse s</w:t>
      </w:r>
      <w:r w:rsidR="003E5729" w:rsidRPr="00713F24">
        <w:rPr>
          <w:rFonts w:ascii="Arial" w:hAnsi="Arial" w:cs="Arial"/>
        </w:rPr>
        <w:t>in la participación del diseño, como tantas veces ocurre.</w:t>
      </w:r>
    </w:p>
    <w:p w:rsidR="00713F24" w:rsidRDefault="00713F24" w:rsidP="00DD15D3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713F24" w:rsidRPr="005A0246" w:rsidRDefault="00EF494F" w:rsidP="00DD15D3">
      <w:pPr>
        <w:pStyle w:val="Sinespaciado"/>
        <w:spacing w:line="360" w:lineRule="auto"/>
        <w:jc w:val="both"/>
        <w:rPr>
          <w:rFonts w:ascii="Arial" w:hAnsi="Arial" w:cs="Arial"/>
        </w:rPr>
      </w:pPr>
      <w:r w:rsidRPr="005A0246">
        <w:rPr>
          <w:rFonts w:ascii="Arial" w:hAnsi="Arial" w:cs="Arial"/>
          <w:b/>
        </w:rPr>
        <w:t>Bibliografía</w:t>
      </w:r>
      <w:r w:rsidR="006C3E14" w:rsidRPr="005A0246">
        <w:rPr>
          <w:rFonts w:ascii="Arial" w:hAnsi="Arial" w:cs="Arial"/>
          <w:b/>
        </w:rPr>
        <w:t>:</w:t>
      </w:r>
    </w:p>
    <w:p w:rsidR="00AF7FFA" w:rsidRPr="005A0246" w:rsidRDefault="00AF7FFA" w:rsidP="00DD15D3">
      <w:pPr>
        <w:pStyle w:val="Bibliografa"/>
        <w:spacing w:line="360" w:lineRule="auto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>Centro para el Control Estatal de la Calidad de los Medicamentos. (2009). Regulación Nº 14-2009. La Habana, Cuba.</w:t>
      </w:r>
    </w:p>
    <w:p w:rsidR="00AF7FFA" w:rsidRPr="005A0246" w:rsidRDefault="00AF7FFA" w:rsidP="00DD15D3">
      <w:pPr>
        <w:pStyle w:val="Bibliografa"/>
        <w:spacing w:line="360" w:lineRule="auto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 xml:space="preserve">Cruzová, E. (1988). </w:t>
      </w:r>
      <w:r w:rsidRPr="005A0246">
        <w:rPr>
          <w:rFonts w:ascii="Arial" w:hAnsi="Arial" w:cs="Arial"/>
          <w:i/>
          <w:iCs/>
          <w:noProof/>
        </w:rPr>
        <w:t>Requisitos fundamentales que debe cumplir un envase.</w:t>
      </w:r>
      <w:r w:rsidRPr="005A0246">
        <w:rPr>
          <w:rFonts w:ascii="Arial" w:hAnsi="Arial" w:cs="Arial"/>
          <w:noProof/>
        </w:rPr>
        <w:t xml:space="preserve"> La Habana.: Centro de Investigación, Diseño y Desarrollo de las Industrias Locales Varias. Ministario de la Industria Ligera.</w:t>
      </w:r>
    </w:p>
    <w:p w:rsidR="00AF7FFA" w:rsidRPr="005A0246" w:rsidRDefault="00AF7FFA" w:rsidP="00DD15D3">
      <w:pPr>
        <w:pStyle w:val="Bibliografa"/>
        <w:spacing w:line="360" w:lineRule="auto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 xml:space="preserve">Federación Internacional Farmacéutica. (September de 2001). </w:t>
      </w:r>
      <w:r w:rsidRPr="005A0246">
        <w:rPr>
          <w:rFonts w:ascii="Arial" w:hAnsi="Arial" w:cs="Arial"/>
          <w:i/>
          <w:iCs/>
          <w:noProof/>
        </w:rPr>
        <w:t>FIP – Guías para el etiquetado de medicamrntos prescritos.</w:t>
      </w:r>
      <w:r w:rsidRPr="005A0246">
        <w:rPr>
          <w:rFonts w:ascii="Arial" w:hAnsi="Arial" w:cs="Arial"/>
          <w:noProof/>
        </w:rPr>
        <w:t xml:space="preserve"> Recuperado el 12 de octubre de 2015, de https://www.fip.org/www/uploads/database_file.php?id=259&amp;table_id=</w:t>
      </w:r>
    </w:p>
    <w:p w:rsidR="00AF7FFA" w:rsidRPr="005A0246" w:rsidRDefault="00AF7FFA" w:rsidP="00DD15D3">
      <w:pPr>
        <w:pStyle w:val="Bibliografa"/>
        <w:spacing w:line="360" w:lineRule="auto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 xml:space="preserve">ISMP España. (diciembre de 2007). </w:t>
      </w:r>
      <w:r w:rsidRPr="005A0246">
        <w:rPr>
          <w:rFonts w:ascii="Arial" w:hAnsi="Arial" w:cs="Arial"/>
          <w:i/>
          <w:iCs/>
          <w:noProof/>
        </w:rPr>
        <w:t>www.ismp-espana.org.</w:t>
      </w:r>
      <w:r w:rsidRPr="005A0246">
        <w:rPr>
          <w:rFonts w:ascii="Arial" w:hAnsi="Arial" w:cs="Arial"/>
          <w:noProof/>
        </w:rPr>
        <w:t xml:space="preserve"> Recuperado el 12 de octubre de 2015, de www.ismp-espana.org: </w:t>
      </w:r>
      <w:hyperlink r:id="rId10" w:history="1">
        <w:r w:rsidR="005A0246" w:rsidRPr="005A0246">
          <w:rPr>
            <w:rStyle w:val="Hipervnculo"/>
            <w:rFonts w:ascii="Arial" w:hAnsi="Arial" w:cs="Arial"/>
            <w:noProof/>
            <w:color w:val="auto"/>
          </w:rPr>
          <w:t>http://www.ismp-espana.org/ficheros/Practicas%20para%20mejorar%20la%20seguridad%20de%20los%20medicamentos%20de%20alto%20riesgo..pdf</w:t>
        </w:r>
      </w:hyperlink>
    </w:p>
    <w:p w:rsidR="005A0246" w:rsidRPr="005A0246" w:rsidRDefault="005A0246" w:rsidP="00DD15D3">
      <w:pPr>
        <w:pStyle w:val="Bibliografa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>Jacobo Martínez, J. A., &amp; Olivares, P. (Junio de 2011). El papel del diseñador industrial en los procesos de diseño y fabricación de envases. La Habana, Cuba: Forma.</w:t>
      </w:r>
    </w:p>
    <w:p w:rsidR="00AF7FFA" w:rsidRPr="005A0246" w:rsidRDefault="00AF7FFA" w:rsidP="00DD15D3">
      <w:pPr>
        <w:pStyle w:val="Bibliografa"/>
        <w:spacing w:line="360" w:lineRule="auto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 xml:space="preserve">Rodríguez Gutiérrez, C. (2010). </w:t>
      </w:r>
      <w:r w:rsidRPr="005A0246">
        <w:rPr>
          <w:rFonts w:ascii="Arial" w:hAnsi="Arial" w:cs="Arial"/>
          <w:i/>
          <w:iCs/>
          <w:noProof/>
        </w:rPr>
        <w:t>Rediseño de la gráfica y soportes promocionales del Laboratorio Farmacéutico Reinaldo Gutiérrez.</w:t>
      </w:r>
      <w:r w:rsidRPr="005A0246">
        <w:rPr>
          <w:rFonts w:ascii="Arial" w:hAnsi="Arial" w:cs="Arial"/>
          <w:noProof/>
        </w:rPr>
        <w:t xml:space="preserve"> La Habana: ISDi.</w:t>
      </w:r>
    </w:p>
    <w:p w:rsidR="005A0246" w:rsidRPr="005A0246" w:rsidRDefault="005A0246" w:rsidP="00DD15D3">
      <w:pPr>
        <w:pStyle w:val="Bibliografa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>Suárez, L., &amp; Méndez, A. (Junio de 2015). Diseño de material de envase para productos genéricos inyectables de la industria Biofarmacéutica de Cuba. La Habana, Cuba: Forma.</w:t>
      </w:r>
    </w:p>
    <w:p w:rsidR="005A0246" w:rsidRPr="005A0246" w:rsidRDefault="005A0246" w:rsidP="00DD15D3">
      <w:pPr>
        <w:pStyle w:val="Bibliografa"/>
        <w:ind w:left="720" w:hanging="720"/>
        <w:jc w:val="both"/>
        <w:rPr>
          <w:rFonts w:ascii="Arial" w:hAnsi="Arial" w:cs="Arial"/>
          <w:noProof/>
        </w:rPr>
      </w:pPr>
      <w:r w:rsidRPr="005A0246">
        <w:rPr>
          <w:rFonts w:ascii="Arial" w:hAnsi="Arial" w:cs="Arial"/>
          <w:noProof/>
        </w:rPr>
        <w:t>Valdés Rico, M. d. (2013). Satisfacción de los clientes en los Laboratorios Liorad. Más allá de las buenas prácticas. La Habana, Cuba: UH.</w:t>
      </w:r>
    </w:p>
    <w:p w:rsidR="00AF7FFA" w:rsidRPr="00AF7FFA" w:rsidRDefault="00AF7FFA" w:rsidP="00DD15D3">
      <w:pPr>
        <w:jc w:val="both"/>
      </w:pPr>
    </w:p>
    <w:sectPr w:rsidR="00AF7FFA" w:rsidRPr="00AF7FFA" w:rsidSect="00713F2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1F" w:rsidRDefault="0052201F" w:rsidP="005565DB">
      <w:pPr>
        <w:spacing w:after="0" w:line="240" w:lineRule="auto"/>
      </w:pPr>
      <w:r>
        <w:separator/>
      </w:r>
    </w:p>
  </w:endnote>
  <w:endnote w:type="continuationSeparator" w:id="0">
    <w:p w:rsidR="0052201F" w:rsidRDefault="0052201F" w:rsidP="0055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1F" w:rsidRDefault="0052201F" w:rsidP="005565DB">
      <w:pPr>
        <w:spacing w:after="0" w:line="240" w:lineRule="auto"/>
      </w:pPr>
      <w:r>
        <w:separator/>
      </w:r>
    </w:p>
  </w:footnote>
  <w:footnote w:type="continuationSeparator" w:id="0">
    <w:p w:rsidR="0052201F" w:rsidRDefault="0052201F" w:rsidP="005565DB">
      <w:pPr>
        <w:spacing w:after="0" w:line="240" w:lineRule="auto"/>
      </w:pPr>
      <w:r>
        <w:continuationSeparator/>
      </w:r>
    </w:p>
  </w:footnote>
  <w:footnote w:id="1">
    <w:p w:rsidR="005565DB" w:rsidRPr="008D1B3C" w:rsidRDefault="005565DB">
      <w:pPr>
        <w:pStyle w:val="Textonotapie"/>
        <w:rPr>
          <w:rStyle w:val="Refdenotaalpie"/>
          <w:rFonts w:ascii="Arial" w:hAnsi="Arial" w:cs="Arial"/>
          <w:i/>
          <w:vertAlign w:val="baseline"/>
        </w:rPr>
      </w:pPr>
      <w:r w:rsidRPr="008D1B3C">
        <w:rPr>
          <w:rStyle w:val="Refdenotaalpie"/>
          <w:rFonts w:ascii="Arial" w:hAnsi="Arial" w:cs="Arial"/>
          <w:i/>
        </w:rPr>
        <w:footnoteRef/>
      </w:r>
      <w:r w:rsidRPr="008D1B3C">
        <w:rPr>
          <w:rStyle w:val="Refdenotaalpie"/>
          <w:rFonts w:ascii="Arial" w:hAnsi="Arial" w:cs="Arial"/>
          <w:i/>
          <w:vertAlign w:val="baseline"/>
        </w:rPr>
        <w:t xml:space="preserve"> </w:t>
      </w:r>
      <w:proofErr w:type="spellStart"/>
      <w:r w:rsidRPr="008D1B3C">
        <w:rPr>
          <w:rStyle w:val="Refdenotaalpie"/>
          <w:rFonts w:ascii="Arial" w:hAnsi="Arial" w:cs="Arial"/>
          <w:i/>
          <w:vertAlign w:val="baseline"/>
        </w:rPr>
        <w:t>Datamatrix</w:t>
      </w:r>
      <w:proofErr w:type="spellEnd"/>
      <w:r w:rsidRPr="008D1B3C">
        <w:rPr>
          <w:rStyle w:val="Refdenotaalpie"/>
          <w:rFonts w:ascii="Arial" w:hAnsi="Arial" w:cs="Arial"/>
          <w:i/>
          <w:vertAlign w:val="baseline"/>
        </w:rPr>
        <w:t xml:space="preserve">, o codificación de datos 2D, es un sistema industrial de codificación bidimensional que permite la generación de un gran volumen de </w:t>
      </w:r>
      <w:hyperlink r:id="rId1" w:history="1">
        <w:r w:rsidRPr="008D1B3C">
          <w:rPr>
            <w:rStyle w:val="Refdenotaalpie"/>
            <w:rFonts w:ascii="Arial" w:hAnsi="Arial" w:cs="Arial"/>
            <w:i/>
            <w:vertAlign w:val="baseline"/>
          </w:rPr>
          <w:t>información</w:t>
        </w:r>
      </w:hyperlink>
      <w:r w:rsidRPr="008D1B3C">
        <w:rPr>
          <w:rStyle w:val="Refdenotaalpie"/>
          <w:rFonts w:ascii="Arial" w:hAnsi="Arial" w:cs="Arial"/>
          <w:i/>
          <w:vertAlign w:val="baseline"/>
        </w:rPr>
        <w:t xml:space="preserve"> en un formato muy reducido, con una alta fiabilidad de lectura gracias a sus sistemas de información redundante y corrección de errores.</w:t>
      </w:r>
    </w:p>
  </w:footnote>
  <w:footnote w:id="2">
    <w:p w:rsidR="00F01A5E" w:rsidRPr="008D1B3C" w:rsidRDefault="00F01A5E" w:rsidP="00F01A5E">
      <w:pPr>
        <w:pStyle w:val="Textonotapie"/>
        <w:rPr>
          <w:rStyle w:val="Refdenotaalpie"/>
          <w:rFonts w:ascii="Arial" w:hAnsi="Arial" w:cs="Arial"/>
          <w:i/>
          <w:vertAlign w:val="baseline"/>
        </w:rPr>
      </w:pPr>
      <w:r w:rsidRPr="008D1B3C">
        <w:rPr>
          <w:rStyle w:val="Refdenotaalpie"/>
          <w:rFonts w:ascii="Arial" w:hAnsi="Arial" w:cs="Arial"/>
          <w:i/>
        </w:rPr>
        <w:footnoteRef/>
      </w:r>
      <w:r w:rsidRPr="008D1B3C">
        <w:rPr>
          <w:rStyle w:val="Refdenotaalpie"/>
          <w:rFonts w:ascii="Arial" w:hAnsi="Arial" w:cs="Arial"/>
          <w:i/>
        </w:rPr>
        <w:t xml:space="preserve"> </w:t>
      </w:r>
      <w:r w:rsidRPr="008D1B3C">
        <w:rPr>
          <w:rStyle w:val="Refdenotaalpie"/>
          <w:rFonts w:ascii="Arial" w:hAnsi="Arial" w:cs="Arial"/>
          <w:i/>
          <w:vertAlign w:val="baseline"/>
        </w:rPr>
        <w:t xml:space="preserve">Envase de </w:t>
      </w:r>
      <w:proofErr w:type="spellStart"/>
      <w:r w:rsidRPr="008D1B3C">
        <w:rPr>
          <w:rStyle w:val="Refdenotaalpie"/>
          <w:rFonts w:ascii="Arial" w:hAnsi="Arial" w:cs="Arial"/>
          <w:i/>
          <w:vertAlign w:val="baseline"/>
        </w:rPr>
        <w:t>unidosis</w:t>
      </w:r>
      <w:proofErr w:type="spellEnd"/>
      <w:r w:rsidRPr="008D1B3C">
        <w:rPr>
          <w:rStyle w:val="Refdenotaalpie"/>
          <w:rFonts w:ascii="Arial" w:hAnsi="Arial" w:cs="Arial"/>
          <w:i/>
          <w:vertAlign w:val="baseline"/>
        </w:rPr>
        <w:t xml:space="preserve">: Envase que contiene la cantidad prescrita de un medicamento en una forma de dosificación lista para ser administrada a un paciente en particular, por la vía y el tiempo prescrito. Ejemplo: Colirio con una sola dosis.  </w:t>
      </w:r>
    </w:p>
    <w:p w:rsidR="00F01A5E" w:rsidRPr="008D1B3C" w:rsidRDefault="00F01A5E">
      <w:pPr>
        <w:pStyle w:val="Textonotapie"/>
        <w:rPr>
          <w:rFonts w:ascii="Arial" w:hAnsi="Arial" w:cs="Arial"/>
          <w:i/>
        </w:rPr>
      </w:pPr>
    </w:p>
  </w:footnote>
  <w:footnote w:id="3">
    <w:p w:rsidR="00F01A5E" w:rsidRPr="008D1B3C" w:rsidRDefault="00F01A5E" w:rsidP="00F01A5E">
      <w:pPr>
        <w:pStyle w:val="Textonotapie"/>
        <w:rPr>
          <w:rStyle w:val="Refdenotaalpie"/>
          <w:rFonts w:ascii="Arial" w:hAnsi="Arial" w:cs="Arial"/>
          <w:i/>
          <w:vertAlign w:val="baseline"/>
        </w:rPr>
      </w:pPr>
      <w:r w:rsidRPr="008D1B3C">
        <w:rPr>
          <w:rStyle w:val="Refdenotaalpie"/>
          <w:rFonts w:ascii="Arial" w:hAnsi="Arial" w:cs="Arial"/>
          <w:i/>
        </w:rPr>
        <w:footnoteRef/>
      </w:r>
      <w:r w:rsidRPr="008D1B3C">
        <w:rPr>
          <w:rStyle w:val="Refdenotaalpie"/>
          <w:rFonts w:ascii="Arial" w:hAnsi="Arial" w:cs="Arial"/>
          <w:i/>
        </w:rPr>
        <w:t xml:space="preserve"> </w:t>
      </w:r>
      <w:r w:rsidRPr="008D1B3C">
        <w:rPr>
          <w:rStyle w:val="Refdenotaalpie"/>
          <w:rFonts w:ascii="Arial" w:hAnsi="Arial" w:cs="Arial"/>
          <w:i/>
          <w:vertAlign w:val="baseline"/>
        </w:rPr>
        <w:t xml:space="preserve">Envase </w:t>
      </w:r>
      <w:proofErr w:type="spellStart"/>
      <w:r w:rsidRPr="008D1B3C">
        <w:rPr>
          <w:rStyle w:val="Refdenotaalpie"/>
          <w:rFonts w:ascii="Arial" w:hAnsi="Arial" w:cs="Arial"/>
          <w:i/>
          <w:vertAlign w:val="baseline"/>
        </w:rPr>
        <w:t>monodosis</w:t>
      </w:r>
      <w:proofErr w:type="spellEnd"/>
      <w:r w:rsidRPr="008D1B3C">
        <w:rPr>
          <w:rStyle w:val="Refdenotaalpie"/>
          <w:rFonts w:ascii="Arial" w:hAnsi="Arial" w:cs="Arial"/>
          <w:i/>
          <w:vertAlign w:val="baseline"/>
        </w:rPr>
        <w:t xml:space="preserve">: Envase unitario para sustancias administradas solamente por vía parenteral. Debe estar rotulado como envase </w:t>
      </w:r>
      <w:proofErr w:type="spellStart"/>
      <w:r w:rsidRPr="008D1B3C">
        <w:rPr>
          <w:rStyle w:val="Refdenotaalpie"/>
          <w:rFonts w:ascii="Arial" w:hAnsi="Arial" w:cs="Arial"/>
          <w:i/>
          <w:vertAlign w:val="baseline"/>
        </w:rPr>
        <w:t>monodosis</w:t>
      </w:r>
      <w:proofErr w:type="spellEnd"/>
      <w:r w:rsidRPr="008D1B3C">
        <w:rPr>
          <w:rStyle w:val="Refdenotaalpie"/>
          <w:rFonts w:ascii="Arial" w:hAnsi="Arial" w:cs="Arial"/>
          <w:i/>
          <w:vertAlign w:val="baseline"/>
        </w:rPr>
        <w:t xml:space="preserve">. Ejemplo: jeringuillas </w:t>
      </w:r>
      <w:proofErr w:type="spellStart"/>
      <w:r w:rsidRPr="008D1B3C">
        <w:rPr>
          <w:rStyle w:val="Refdenotaalpie"/>
          <w:rFonts w:ascii="Arial" w:hAnsi="Arial" w:cs="Arial"/>
          <w:i/>
          <w:vertAlign w:val="baseline"/>
        </w:rPr>
        <w:t>prellenadas</w:t>
      </w:r>
      <w:proofErr w:type="spellEnd"/>
      <w:r w:rsidRPr="008D1B3C">
        <w:rPr>
          <w:rStyle w:val="Refdenotaalpie"/>
          <w:rFonts w:ascii="Arial" w:hAnsi="Arial" w:cs="Arial"/>
          <w:i/>
          <w:vertAlign w:val="baseline"/>
        </w:rPr>
        <w:t xml:space="preserve">, cartuchos, envases sellados a fusión o envases sellados con tapas, ampolletas, cuando así se indique en la etiqueta.   </w:t>
      </w:r>
    </w:p>
    <w:p w:rsidR="00F01A5E" w:rsidRPr="008D1B3C" w:rsidRDefault="00F01A5E">
      <w:pPr>
        <w:pStyle w:val="Textonotapie"/>
        <w:rPr>
          <w:rFonts w:ascii="Arial" w:hAnsi="Arial" w:cs="Arial"/>
          <w:i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20F6"/>
    <w:multiLevelType w:val="hybridMultilevel"/>
    <w:tmpl w:val="A2E481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C29B7"/>
    <w:multiLevelType w:val="hybridMultilevel"/>
    <w:tmpl w:val="055859D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06DA0"/>
    <w:multiLevelType w:val="hybridMultilevel"/>
    <w:tmpl w:val="CFFCA432"/>
    <w:lvl w:ilvl="0" w:tplc="2CDAEFF8">
      <w:start w:val="240"/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F6212"/>
    <w:multiLevelType w:val="hybridMultilevel"/>
    <w:tmpl w:val="4002E9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E0CDD"/>
    <w:multiLevelType w:val="hybridMultilevel"/>
    <w:tmpl w:val="752C7C36"/>
    <w:lvl w:ilvl="0" w:tplc="8FD8DF7A">
      <w:start w:val="24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A7383"/>
    <w:multiLevelType w:val="hybridMultilevel"/>
    <w:tmpl w:val="8E500792"/>
    <w:lvl w:ilvl="0" w:tplc="8FD8DF7A">
      <w:start w:val="24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AE14D9"/>
    <w:multiLevelType w:val="hybridMultilevel"/>
    <w:tmpl w:val="E0B2BF80"/>
    <w:lvl w:ilvl="0" w:tplc="8FD8DF7A">
      <w:start w:val="24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F01CB"/>
    <w:multiLevelType w:val="hybridMultilevel"/>
    <w:tmpl w:val="CC7E76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8F"/>
    <w:rsid w:val="0002208F"/>
    <w:rsid w:val="00025713"/>
    <w:rsid w:val="00031380"/>
    <w:rsid w:val="000345BA"/>
    <w:rsid w:val="00045050"/>
    <w:rsid w:val="000A320D"/>
    <w:rsid w:val="000B268A"/>
    <w:rsid w:val="000C034D"/>
    <w:rsid w:val="000D69A2"/>
    <w:rsid w:val="00147579"/>
    <w:rsid w:val="001B1F4F"/>
    <w:rsid w:val="001F3243"/>
    <w:rsid w:val="00206825"/>
    <w:rsid w:val="00214EE1"/>
    <w:rsid w:val="00247738"/>
    <w:rsid w:val="002E67ED"/>
    <w:rsid w:val="002F65A8"/>
    <w:rsid w:val="0031130F"/>
    <w:rsid w:val="00336BD5"/>
    <w:rsid w:val="003A6EFB"/>
    <w:rsid w:val="003E5729"/>
    <w:rsid w:val="003F0322"/>
    <w:rsid w:val="003F0CE2"/>
    <w:rsid w:val="004147BC"/>
    <w:rsid w:val="00470AC5"/>
    <w:rsid w:val="00482E04"/>
    <w:rsid w:val="00483E25"/>
    <w:rsid w:val="004A205D"/>
    <w:rsid w:val="0052201F"/>
    <w:rsid w:val="00550B7A"/>
    <w:rsid w:val="005565DB"/>
    <w:rsid w:val="005A0246"/>
    <w:rsid w:val="005A44FE"/>
    <w:rsid w:val="005F58BA"/>
    <w:rsid w:val="00600121"/>
    <w:rsid w:val="00604ECB"/>
    <w:rsid w:val="006316E7"/>
    <w:rsid w:val="006326FF"/>
    <w:rsid w:val="00636A8C"/>
    <w:rsid w:val="0066742A"/>
    <w:rsid w:val="006A2831"/>
    <w:rsid w:val="006B793A"/>
    <w:rsid w:val="006C3E14"/>
    <w:rsid w:val="006D2D50"/>
    <w:rsid w:val="006E0D50"/>
    <w:rsid w:val="00713F24"/>
    <w:rsid w:val="00797673"/>
    <w:rsid w:val="007C114F"/>
    <w:rsid w:val="007C29E3"/>
    <w:rsid w:val="00807E0A"/>
    <w:rsid w:val="00860339"/>
    <w:rsid w:val="00895CD3"/>
    <w:rsid w:val="008D1B3C"/>
    <w:rsid w:val="008E3917"/>
    <w:rsid w:val="008E4877"/>
    <w:rsid w:val="00960E8A"/>
    <w:rsid w:val="0099093A"/>
    <w:rsid w:val="009D7645"/>
    <w:rsid w:val="00A066CE"/>
    <w:rsid w:val="00A21F00"/>
    <w:rsid w:val="00A41035"/>
    <w:rsid w:val="00A630D9"/>
    <w:rsid w:val="00A71A36"/>
    <w:rsid w:val="00A86B76"/>
    <w:rsid w:val="00AA451C"/>
    <w:rsid w:val="00AD0630"/>
    <w:rsid w:val="00AD097E"/>
    <w:rsid w:val="00AD1DC4"/>
    <w:rsid w:val="00AF3E5E"/>
    <w:rsid w:val="00AF7FFA"/>
    <w:rsid w:val="00B05771"/>
    <w:rsid w:val="00B35628"/>
    <w:rsid w:val="00B50EB7"/>
    <w:rsid w:val="00C527CB"/>
    <w:rsid w:val="00CC6856"/>
    <w:rsid w:val="00CC7A49"/>
    <w:rsid w:val="00DA3F0A"/>
    <w:rsid w:val="00DA7024"/>
    <w:rsid w:val="00DA7644"/>
    <w:rsid w:val="00DB22C2"/>
    <w:rsid w:val="00DB27D1"/>
    <w:rsid w:val="00DC106B"/>
    <w:rsid w:val="00DD15D3"/>
    <w:rsid w:val="00E648CD"/>
    <w:rsid w:val="00E8729E"/>
    <w:rsid w:val="00E90C22"/>
    <w:rsid w:val="00EC09D3"/>
    <w:rsid w:val="00EC0AF3"/>
    <w:rsid w:val="00EE54A6"/>
    <w:rsid w:val="00EF494F"/>
    <w:rsid w:val="00F01A5E"/>
    <w:rsid w:val="00F106A5"/>
    <w:rsid w:val="00F740FB"/>
    <w:rsid w:val="00F75EB3"/>
    <w:rsid w:val="00F93387"/>
    <w:rsid w:val="00FA165D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FDBDA-2DEA-41F1-84F6-2EC05BDB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65A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A320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A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DA7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565D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565D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565DB"/>
    <w:rPr>
      <w:vertAlign w:val="superscript"/>
    </w:rPr>
  </w:style>
  <w:style w:type="paragraph" w:styleId="Sinespaciado">
    <w:name w:val="No Spacing"/>
    <w:uiPriority w:val="1"/>
    <w:qFormat/>
    <w:rsid w:val="00713F24"/>
    <w:pPr>
      <w:spacing w:after="0" w:line="240" w:lineRule="auto"/>
    </w:pPr>
  </w:style>
  <w:style w:type="paragraph" w:styleId="Bibliografa">
    <w:name w:val="Bibliography"/>
    <w:basedOn w:val="Normal"/>
    <w:next w:val="Normal"/>
    <w:uiPriority w:val="37"/>
    <w:unhideWhenUsed/>
    <w:rsid w:val="00AF7FFA"/>
    <w:p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doliona@cubarte.cult.c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smp-espana.org/ficheros/Practicas%20para%20mejorar%20la%20seguridad%20de%20los%20medicamentos%20de%20alto%20riesgo..pdf" TargetMode="External"/><Relationship Id="rId4" Type="http://schemas.openxmlformats.org/officeDocument/2006/relationships/settings" Target="settings.xml"/><Relationship Id="rId9" Type="http://schemas.openxmlformats.org/officeDocument/2006/relationships/hyperlink" Target="zim://A/A/html/I/n/f/o/Informaci%C3%B3n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zim://A/A/html/I/n/f/o/Informaci%C3%B3n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49692-772C-46B0-9124-6A401404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2093</Words>
  <Characters>11514</Characters>
  <Application>Microsoft Office Word</Application>
  <DocSecurity>4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Cozzis</dc:creator>
  <cp:keywords/>
  <dc:description/>
  <cp:lastModifiedBy>Ibet Janet Garcia Alvarez</cp:lastModifiedBy>
  <cp:revision>2</cp:revision>
  <dcterms:created xsi:type="dcterms:W3CDTF">2016-04-01T14:03:00Z</dcterms:created>
  <dcterms:modified xsi:type="dcterms:W3CDTF">2016-04-01T14:03:00Z</dcterms:modified>
</cp:coreProperties>
</file>